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1693F" w14:textId="5F365DFA" w:rsidR="00E21DD2" w:rsidRPr="00D40560" w:rsidRDefault="00E21DD2" w:rsidP="007459EB">
      <w:pPr>
        <w:rPr>
          <w:sz w:val="24"/>
          <w:szCs w:val="24"/>
        </w:rPr>
      </w:pPr>
      <w:bookmarkStart w:id="0" w:name="_GoBack"/>
      <w:bookmarkEnd w:id="0"/>
      <w:r w:rsidRPr="00D40560">
        <w:rPr>
          <w:sz w:val="24"/>
          <w:szCs w:val="24"/>
        </w:rPr>
        <w:t>January 16, 2017</w:t>
      </w:r>
    </w:p>
    <w:p w14:paraId="43C03010" w14:textId="67EB50A9" w:rsidR="00E21DD2" w:rsidRPr="00D40560" w:rsidRDefault="00E21DD2" w:rsidP="007459EB">
      <w:pPr>
        <w:rPr>
          <w:sz w:val="24"/>
          <w:szCs w:val="24"/>
        </w:rPr>
      </w:pPr>
      <w:r w:rsidRPr="00D40560">
        <w:rPr>
          <w:sz w:val="24"/>
          <w:szCs w:val="24"/>
        </w:rPr>
        <w:t>To:</w:t>
      </w:r>
      <w:r w:rsidRPr="00D40560">
        <w:rPr>
          <w:sz w:val="24"/>
          <w:szCs w:val="24"/>
        </w:rPr>
        <w:tab/>
        <w:t>Minnesota Legislators</w:t>
      </w:r>
    </w:p>
    <w:p w14:paraId="59FFA7A2" w14:textId="05CF8BF6" w:rsidR="00E21DD2" w:rsidRPr="00D40560" w:rsidRDefault="00E21DD2" w:rsidP="00E21DD2">
      <w:pPr>
        <w:spacing w:after="0"/>
        <w:rPr>
          <w:sz w:val="24"/>
          <w:szCs w:val="24"/>
        </w:rPr>
      </w:pPr>
      <w:r w:rsidRPr="00D40560">
        <w:rPr>
          <w:sz w:val="24"/>
          <w:szCs w:val="24"/>
        </w:rPr>
        <w:t xml:space="preserve">From: </w:t>
      </w:r>
      <w:r w:rsidRPr="00D40560">
        <w:rPr>
          <w:sz w:val="24"/>
          <w:szCs w:val="24"/>
        </w:rPr>
        <w:tab/>
        <w:t>Kirk Schneidawind, MN School Boards Association</w:t>
      </w:r>
    </w:p>
    <w:p w14:paraId="06390F19" w14:textId="6F439E1C" w:rsidR="00E21DD2" w:rsidRPr="00D40560" w:rsidRDefault="00E21DD2" w:rsidP="00E21DD2">
      <w:pPr>
        <w:spacing w:after="0"/>
        <w:rPr>
          <w:sz w:val="24"/>
          <w:szCs w:val="24"/>
        </w:rPr>
      </w:pPr>
      <w:r w:rsidRPr="00D40560">
        <w:rPr>
          <w:sz w:val="24"/>
          <w:szCs w:val="24"/>
        </w:rPr>
        <w:tab/>
        <w:t xml:space="preserve">Gary Amoroso, </w:t>
      </w:r>
      <w:r w:rsidR="00D40560" w:rsidRPr="00D40560">
        <w:rPr>
          <w:sz w:val="24"/>
          <w:szCs w:val="24"/>
        </w:rPr>
        <w:t>MN Association of School Administrators</w:t>
      </w:r>
    </w:p>
    <w:p w14:paraId="10157E87" w14:textId="7A60ED2C" w:rsidR="00D40560" w:rsidRPr="00D40560" w:rsidRDefault="00D40560" w:rsidP="00E21DD2">
      <w:pPr>
        <w:spacing w:after="0"/>
        <w:rPr>
          <w:sz w:val="24"/>
          <w:szCs w:val="24"/>
        </w:rPr>
      </w:pPr>
      <w:r w:rsidRPr="00D40560">
        <w:rPr>
          <w:sz w:val="24"/>
          <w:szCs w:val="24"/>
        </w:rPr>
        <w:tab/>
        <w:t>Scott Croonquist, Association of Metropolitan School Districts</w:t>
      </w:r>
    </w:p>
    <w:p w14:paraId="7377A964" w14:textId="66260971" w:rsidR="00D40560" w:rsidRPr="00D40560" w:rsidRDefault="00D40560" w:rsidP="00E21DD2">
      <w:pPr>
        <w:spacing w:after="0"/>
        <w:rPr>
          <w:sz w:val="24"/>
          <w:szCs w:val="24"/>
        </w:rPr>
      </w:pPr>
      <w:r w:rsidRPr="00D40560">
        <w:rPr>
          <w:sz w:val="24"/>
          <w:szCs w:val="24"/>
        </w:rPr>
        <w:tab/>
        <w:t>Fred Nolan, MN Rural Education Associaion</w:t>
      </w:r>
    </w:p>
    <w:p w14:paraId="5C452604" w14:textId="23C89F70" w:rsidR="00D40560" w:rsidRPr="00D40560" w:rsidRDefault="00D40560" w:rsidP="00E21DD2">
      <w:pPr>
        <w:spacing w:after="0"/>
        <w:rPr>
          <w:sz w:val="24"/>
          <w:szCs w:val="24"/>
        </w:rPr>
      </w:pPr>
      <w:r w:rsidRPr="00D40560">
        <w:rPr>
          <w:sz w:val="24"/>
          <w:szCs w:val="24"/>
        </w:rPr>
        <w:tab/>
        <w:t>Brad Lundell, Schools for Equity in Education</w:t>
      </w:r>
    </w:p>
    <w:p w14:paraId="6299587D" w14:textId="1B56562E" w:rsidR="00D40560" w:rsidRPr="00D40560" w:rsidRDefault="00D40560" w:rsidP="00E21DD2">
      <w:pPr>
        <w:spacing w:after="0"/>
        <w:rPr>
          <w:sz w:val="24"/>
          <w:szCs w:val="24"/>
        </w:rPr>
      </w:pPr>
    </w:p>
    <w:p w14:paraId="5A34E612" w14:textId="3D262C7A" w:rsidR="00D40560" w:rsidRPr="00D40560" w:rsidRDefault="00D40560" w:rsidP="00E21DD2">
      <w:pPr>
        <w:spacing w:after="0"/>
        <w:rPr>
          <w:sz w:val="24"/>
          <w:szCs w:val="24"/>
        </w:rPr>
      </w:pPr>
      <w:r w:rsidRPr="00D40560">
        <w:rPr>
          <w:sz w:val="24"/>
          <w:szCs w:val="24"/>
        </w:rPr>
        <w:t>Re:</w:t>
      </w:r>
      <w:r w:rsidRPr="00D40560">
        <w:rPr>
          <w:sz w:val="24"/>
          <w:szCs w:val="24"/>
        </w:rPr>
        <w:tab/>
        <w:t>Biennial Growth in E-12</w:t>
      </w:r>
      <w:r>
        <w:rPr>
          <w:sz w:val="24"/>
          <w:szCs w:val="24"/>
        </w:rPr>
        <w:t xml:space="preserve"> Education</w:t>
      </w:r>
      <w:r w:rsidRPr="00D40560">
        <w:rPr>
          <w:sz w:val="24"/>
          <w:szCs w:val="24"/>
        </w:rPr>
        <w:t xml:space="preserve"> Spending</w:t>
      </w:r>
    </w:p>
    <w:p w14:paraId="28C3EADE" w14:textId="77777777" w:rsidR="00A43ACB" w:rsidRDefault="00A43ACB" w:rsidP="007459EB">
      <w:pPr>
        <w:rPr>
          <w:b/>
          <w:sz w:val="24"/>
          <w:szCs w:val="24"/>
        </w:rPr>
      </w:pPr>
    </w:p>
    <w:p w14:paraId="4C6076FB" w14:textId="2B0638F5" w:rsidR="0029539D" w:rsidRPr="00D40560" w:rsidRDefault="00737601" w:rsidP="007459EB">
      <w:pPr>
        <w:rPr>
          <w:b/>
          <w:sz w:val="24"/>
          <w:szCs w:val="24"/>
        </w:rPr>
      </w:pPr>
      <w:r w:rsidRPr="00D40560">
        <w:rPr>
          <w:b/>
          <w:sz w:val="24"/>
          <w:szCs w:val="24"/>
        </w:rPr>
        <w:t>Comparing</w:t>
      </w:r>
      <w:r w:rsidR="000543CB" w:rsidRPr="00D40560">
        <w:rPr>
          <w:b/>
          <w:sz w:val="24"/>
          <w:szCs w:val="24"/>
        </w:rPr>
        <w:t xml:space="preserve"> Biennial</w:t>
      </w:r>
      <w:r w:rsidRPr="00D40560">
        <w:rPr>
          <w:b/>
          <w:sz w:val="24"/>
          <w:szCs w:val="24"/>
        </w:rPr>
        <w:t xml:space="preserve"> </w:t>
      </w:r>
      <w:r w:rsidR="0029539D" w:rsidRPr="00D40560">
        <w:rPr>
          <w:b/>
          <w:sz w:val="24"/>
          <w:szCs w:val="24"/>
        </w:rPr>
        <w:t>E-12 Education Spending</w:t>
      </w:r>
      <w:r w:rsidRPr="00D40560">
        <w:rPr>
          <w:b/>
          <w:sz w:val="24"/>
          <w:szCs w:val="24"/>
        </w:rPr>
        <w:t xml:space="preserve">: </w:t>
      </w:r>
      <w:r w:rsidR="000543CB" w:rsidRPr="00D40560">
        <w:rPr>
          <w:b/>
          <w:sz w:val="24"/>
          <w:szCs w:val="24"/>
        </w:rPr>
        <w:t xml:space="preserve">The </w:t>
      </w:r>
      <w:r w:rsidR="006602BE" w:rsidRPr="00D40560">
        <w:rPr>
          <w:b/>
          <w:sz w:val="24"/>
          <w:szCs w:val="24"/>
        </w:rPr>
        <w:t xml:space="preserve">Real </w:t>
      </w:r>
      <w:r w:rsidR="000543CB" w:rsidRPr="00D40560">
        <w:rPr>
          <w:b/>
          <w:sz w:val="24"/>
          <w:szCs w:val="24"/>
        </w:rPr>
        <w:t xml:space="preserve">Story </w:t>
      </w:r>
      <w:r w:rsidRPr="00D40560">
        <w:rPr>
          <w:b/>
          <w:sz w:val="24"/>
          <w:szCs w:val="24"/>
        </w:rPr>
        <w:t>Behind the Numbers</w:t>
      </w:r>
    </w:p>
    <w:p w14:paraId="2BC1698E" w14:textId="67912A62" w:rsidR="001257DF" w:rsidRPr="00D40560" w:rsidRDefault="007459EB" w:rsidP="007459EB">
      <w:pPr>
        <w:rPr>
          <w:sz w:val="24"/>
          <w:szCs w:val="24"/>
        </w:rPr>
      </w:pPr>
      <w:r w:rsidRPr="00D40560">
        <w:rPr>
          <w:sz w:val="24"/>
          <w:szCs w:val="24"/>
        </w:rPr>
        <w:t>The complicated nature of the</w:t>
      </w:r>
      <w:r w:rsidR="00737601" w:rsidRPr="00D40560">
        <w:rPr>
          <w:sz w:val="24"/>
          <w:szCs w:val="24"/>
        </w:rPr>
        <w:t xml:space="preserve"> education</w:t>
      </w:r>
      <w:r w:rsidRPr="00D40560">
        <w:rPr>
          <w:sz w:val="24"/>
          <w:szCs w:val="24"/>
        </w:rPr>
        <w:t xml:space="preserve"> funding system </w:t>
      </w:r>
      <w:r w:rsidR="00F76B89" w:rsidRPr="00D40560">
        <w:rPr>
          <w:sz w:val="24"/>
          <w:szCs w:val="24"/>
        </w:rPr>
        <w:t xml:space="preserve">often leads </w:t>
      </w:r>
      <w:r w:rsidRPr="00D40560">
        <w:rPr>
          <w:sz w:val="24"/>
          <w:szCs w:val="24"/>
        </w:rPr>
        <w:t>to an inaccurate picture of the state of funding for school districts. A prime example is comparing education spending from one biennium to the next</w:t>
      </w:r>
      <w:r w:rsidR="00737601" w:rsidRPr="00D40560">
        <w:rPr>
          <w:sz w:val="24"/>
          <w:szCs w:val="24"/>
        </w:rPr>
        <w:t xml:space="preserve"> biennium</w:t>
      </w:r>
      <w:r w:rsidR="00D40560">
        <w:rPr>
          <w:sz w:val="24"/>
          <w:szCs w:val="24"/>
        </w:rPr>
        <w:t xml:space="preserve"> rather than</w:t>
      </w:r>
      <w:r w:rsidRPr="00D40560">
        <w:rPr>
          <w:sz w:val="24"/>
          <w:szCs w:val="24"/>
        </w:rPr>
        <w:t xml:space="preserve"> comparing year-to-year spending. </w:t>
      </w:r>
      <w:r w:rsidR="006602BE" w:rsidRPr="00D40560">
        <w:rPr>
          <w:sz w:val="24"/>
          <w:szCs w:val="24"/>
        </w:rPr>
        <w:t xml:space="preserve"> Case in point, </w:t>
      </w:r>
      <w:r w:rsidR="00784F50" w:rsidRPr="00D40560">
        <w:rPr>
          <w:sz w:val="24"/>
          <w:szCs w:val="24"/>
        </w:rPr>
        <w:t xml:space="preserve"> the November 2016 Budget and Economic Forecast shows that education spending is projected to grow by </w:t>
      </w:r>
      <w:r w:rsidR="00784F50" w:rsidRPr="00A43ACB">
        <w:rPr>
          <w:b/>
          <w:sz w:val="24"/>
          <w:szCs w:val="24"/>
        </w:rPr>
        <w:t>$774 million</w:t>
      </w:r>
      <w:r w:rsidR="00A43ACB" w:rsidRPr="00A43ACB">
        <w:rPr>
          <w:b/>
          <w:sz w:val="24"/>
          <w:szCs w:val="24"/>
        </w:rPr>
        <w:t xml:space="preserve"> (4%)</w:t>
      </w:r>
      <w:r w:rsidR="00784F50" w:rsidRPr="00D40560">
        <w:rPr>
          <w:sz w:val="24"/>
          <w:szCs w:val="24"/>
        </w:rPr>
        <w:t xml:space="preserve"> from the 2016-17 biennium to the 2018-19 biennium. </w:t>
      </w:r>
      <w:r w:rsidR="001257DF" w:rsidRPr="00D40560">
        <w:rPr>
          <w:sz w:val="24"/>
          <w:szCs w:val="24"/>
        </w:rPr>
        <w:t>However, b</w:t>
      </w:r>
      <w:r w:rsidRPr="00D40560">
        <w:rPr>
          <w:sz w:val="24"/>
          <w:szCs w:val="24"/>
        </w:rPr>
        <w:t>iennium to biennium comparisons</w:t>
      </w:r>
      <w:r w:rsidR="00D40560">
        <w:rPr>
          <w:sz w:val="24"/>
          <w:szCs w:val="24"/>
        </w:rPr>
        <w:t xml:space="preserve"> can</w:t>
      </w:r>
      <w:r w:rsidRPr="00D40560">
        <w:rPr>
          <w:sz w:val="24"/>
          <w:szCs w:val="24"/>
        </w:rPr>
        <w:t xml:space="preserve"> </w:t>
      </w:r>
      <w:r w:rsidR="00737601" w:rsidRPr="00D40560">
        <w:rPr>
          <w:sz w:val="24"/>
          <w:szCs w:val="24"/>
        </w:rPr>
        <w:t>provide a greatly distorted picture of school funding that is not reflective of the actual</w:t>
      </w:r>
      <w:r w:rsidR="006602BE" w:rsidRPr="00D40560">
        <w:rPr>
          <w:sz w:val="24"/>
          <w:szCs w:val="24"/>
        </w:rPr>
        <w:t xml:space="preserve"> </w:t>
      </w:r>
      <w:r w:rsidR="00737601" w:rsidRPr="00D40560">
        <w:rPr>
          <w:sz w:val="24"/>
          <w:szCs w:val="24"/>
        </w:rPr>
        <w:t>funding increa</w:t>
      </w:r>
      <w:r w:rsidR="000543CB" w:rsidRPr="00D40560">
        <w:rPr>
          <w:sz w:val="24"/>
          <w:szCs w:val="24"/>
        </w:rPr>
        <w:t>ses received by school districts</w:t>
      </w:r>
      <w:r w:rsidR="00737601" w:rsidRPr="00D40560">
        <w:rPr>
          <w:sz w:val="24"/>
          <w:szCs w:val="24"/>
        </w:rPr>
        <w:t xml:space="preserve">. </w:t>
      </w:r>
      <w:r w:rsidR="00314708" w:rsidRPr="00D40560">
        <w:rPr>
          <w:sz w:val="24"/>
          <w:szCs w:val="24"/>
        </w:rPr>
        <w:t>Below is an explanation of the biennium to biennium cost increases.  It is important that state policymakers understand the real story behind the numbers.</w:t>
      </w:r>
      <w:r w:rsidR="003626B4" w:rsidRPr="00D40560">
        <w:rPr>
          <w:sz w:val="24"/>
          <w:szCs w:val="24"/>
        </w:rPr>
        <w:t xml:space="preserve"> </w:t>
      </w:r>
      <w:r w:rsidR="006602BE" w:rsidRPr="00D40560">
        <w:rPr>
          <w:sz w:val="24"/>
          <w:szCs w:val="24"/>
        </w:rPr>
        <w:t xml:space="preserve"> </w:t>
      </w:r>
    </w:p>
    <w:p w14:paraId="099CE187" w14:textId="7EF513EC" w:rsidR="002E6F82" w:rsidRPr="00D40560" w:rsidRDefault="002E6F82" w:rsidP="002E6F82">
      <w:pPr>
        <w:rPr>
          <w:b/>
          <w:sz w:val="24"/>
          <w:szCs w:val="24"/>
        </w:rPr>
      </w:pPr>
      <w:r w:rsidRPr="00D40560">
        <w:rPr>
          <w:b/>
          <w:sz w:val="24"/>
          <w:szCs w:val="24"/>
        </w:rPr>
        <w:t xml:space="preserve">Special Education. ($292 million)  </w:t>
      </w:r>
    </w:p>
    <w:p w14:paraId="6284AB5E" w14:textId="4CBB5D20" w:rsidR="002E6F82" w:rsidRPr="00A43ACB" w:rsidRDefault="00D40560" w:rsidP="002E6F82">
      <w:pPr>
        <w:rPr>
          <w:b/>
          <w:sz w:val="24"/>
          <w:szCs w:val="24"/>
        </w:rPr>
      </w:pPr>
      <w:r>
        <w:rPr>
          <w:sz w:val="24"/>
          <w:szCs w:val="24"/>
        </w:rPr>
        <w:t>The projected increase in special education expenditures i</w:t>
      </w:r>
      <w:r w:rsidR="002E6F82" w:rsidRPr="00D40560">
        <w:rPr>
          <w:sz w:val="24"/>
          <w:szCs w:val="24"/>
        </w:rPr>
        <w:t xml:space="preserve">s the result of </w:t>
      </w:r>
      <w:r w:rsidR="00314708" w:rsidRPr="00D40560">
        <w:rPr>
          <w:sz w:val="24"/>
          <w:szCs w:val="24"/>
        </w:rPr>
        <w:t xml:space="preserve">more </w:t>
      </w:r>
      <w:r w:rsidR="002E6F82" w:rsidRPr="00D40560">
        <w:rPr>
          <w:sz w:val="24"/>
          <w:szCs w:val="24"/>
        </w:rPr>
        <w:t xml:space="preserve">students receiving special education services and the new special education funding formula that was adopted in the 2013 session. While state special education aid is projected to grow significantly, mandated special education expenditures are projected to </w:t>
      </w:r>
      <w:r w:rsidR="002E6F82" w:rsidRPr="00D40560">
        <w:rPr>
          <w:b/>
          <w:sz w:val="24"/>
          <w:szCs w:val="24"/>
        </w:rPr>
        <w:t>grow even faster</w:t>
      </w:r>
      <w:r w:rsidR="002E6F82" w:rsidRPr="00D40560">
        <w:rPr>
          <w:sz w:val="24"/>
          <w:szCs w:val="24"/>
        </w:rPr>
        <w:t>. In fact, the Minnesota Department of Education projects that the special education cross-subsidy</w:t>
      </w:r>
      <w:r w:rsidR="00380C84">
        <w:rPr>
          <w:sz w:val="24"/>
          <w:szCs w:val="24"/>
        </w:rPr>
        <w:t xml:space="preserve"> - </w:t>
      </w:r>
      <w:r w:rsidR="002E6F82" w:rsidRPr="00D40560">
        <w:rPr>
          <w:sz w:val="24"/>
          <w:szCs w:val="24"/>
        </w:rPr>
        <w:t>the amount by which school district special education expenditures exceed special education revenue</w:t>
      </w:r>
      <w:r w:rsidR="00380C84">
        <w:rPr>
          <w:sz w:val="24"/>
          <w:szCs w:val="24"/>
        </w:rPr>
        <w:t xml:space="preserve"> – is projected to grow.</w:t>
      </w:r>
      <w:r w:rsidR="00A43ACB">
        <w:rPr>
          <w:sz w:val="24"/>
          <w:szCs w:val="24"/>
        </w:rPr>
        <w:t xml:space="preserve"> </w:t>
      </w:r>
      <w:r w:rsidR="00A43ACB" w:rsidRPr="00A43ACB">
        <w:rPr>
          <w:b/>
          <w:sz w:val="24"/>
          <w:szCs w:val="24"/>
        </w:rPr>
        <w:t xml:space="preserve">The increased </w:t>
      </w:r>
      <w:r w:rsidR="00A43ACB">
        <w:rPr>
          <w:b/>
          <w:sz w:val="24"/>
          <w:szCs w:val="24"/>
        </w:rPr>
        <w:t>number of students</w:t>
      </w:r>
      <w:r w:rsidR="00A43ACB" w:rsidRPr="00A43ACB">
        <w:rPr>
          <w:b/>
          <w:sz w:val="24"/>
          <w:szCs w:val="24"/>
        </w:rPr>
        <w:t xml:space="preserve"> receiving special education </w:t>
      </w:r>
      <w:r w:rsidR="00A43ACB">
        <w:rPr>
          <w:b/>
          <w:sz w:val="24"/>
          <w:szCs w:val="24"/>
        </w:rPr>
        <w:t>services and the new</w:t>
      </w:r>
      <w:r w:rsidR="00A43ACB" w:rsidRPr="00A43ACB">
        <w:rPr>
          <w:b/>
          <w:sz w:val="24"/>
          <w:szCs w:val="24"/>
        </w:rPr>
        <w:t xml:space="preserve"> formula accounts for $292 million of the biennial increase.</w:t>
      </w:r>
    </w:p>
    <w:p w14:paraId="62D78E9F" w14:textId="206E989C" w:rsidR="00E03273" w:rsidRPr="00D40560" w:rsidRDefault="002E6F82" w:rsidP="007459EB">
      <w:pPr>
        <w:rPr>
          <w:b/>
          <w:sz w:val="24"/>
          <w:szCs w:val="24"/>
        </w:rPr>
      </w:pPr>
      <w:r w:rsidRPr="00D40560">
        <w:rPr>
          <w:b/>
          <w:sz w:val="24"/>
          <w:szCs w:val="24"/>
        </w:rPr>
        <w:t xml:space="preserve">Pupil Growth. </w:t>
      </w:r>
      <w:r w:rsidR="000E7229" w:rsidRPr="00D40560">
        <w:rPr>
          <w:b/>
          <w:sz w:val="24"/>
          <w:szCs w:val="24"/>
        </w:rPr>
        <w:t>($2</w:t>
      </w:r>
      <w:r w:rsidRPr="00D40560">
        <w:rPr>
          <w:b/>
          <w:sz w:val="24"/>
          <w:szCs w:val="24"/>
        </w:rPr>
        <w:t>23</w:t>
      </w:r>
      <w:r w:rsidR="000E7229" w:rsidRPr="00D40560">
        <w:rPr>
          <w:b/>
          <w:sz w:val="24"/>
          <w:szCs w:val="24"/>
        </w:rPr>
        <w:t xml:space="preserve"> million)</w:t>
      </w:r>
      <w:r w:rsidR="00E03273" w:rsidRPr="00D40560">
        <w:rPr>
          <w:b/>
          <w:sz w:val="24"/>
          <w:szCs w:val="24"/>
        </w:rPr>
        <w:t xml:space="preserve"> </w:t>
      </w:r>
    </w:p>
    <w:p w14:paraId="013D12A1" w14:textId="50C8A1CD" w:rsidR="001257DF" w:rsidRPr="00D40560" w:rsidRDefault="00E03273" w:rsidP="007459EB">
      <w:pPr>
        <w:rPr>
          <w:b/>
          <w:sz w:val="24"/>
          <w:szCs w:val="24"/>
        </w:rPr>
      </w:pPr>
      <w:r w:rsidRPr="00D40560">
        <w:rPr>
          <w:sz w:val="24"/>
          <w:szCs w:val="24"/>
        </w:rPr>
        <w:t xml:space="preserve">Since </w:t>
      </w:r>
      <w:r w:rsidR="00E21DD2" w:rsidRPr="00D40560">
        <w:rPr>
          <w:sz w:val="24"/>
          <w:szCs w:val="24"/>
        </w:rPr>
        <w:t xml:space="preserve">general </w:t>
      </w:r>
      <w:r w:rsidRPr="00D40560">
        <w:rPr>
          <w:sz w:val="24"/>
          <w:szCs w:val="24"/>
        </w:rPr>
        <w:t>e</w:t>
      </w:r>
      <w:r w:rsidR="001257DF" w:rsidRPr="00D40560">
        <w:rPr>
          <w:sz w:val="24"/>
          <w:szCs w:val="24"/>
        </w:rPr>
        <w:t>ducation spending is largely driven by the number of students</w:t>
      </w:r>
      <w:r w:rsidRPr="00D40560">
        <w:rPr>
          <w:sz w:val="24"/>
          <w:szCs w:val="24"/>
        </w:rPr>
        <w:t xml:space="preserve"> served by our public schools, f</w:t>
      </w:r>
      <w:r w:rsidR="001257DF" w:rsidRPr="00D40560">
        <w:rPr>
          <w:sz w:val="24"/>
          <w:szCs w:val="24"/>
        </w:rPr>
        <w:t>aster than proj</w:t>
      </w:r>
      <w:r w:rsidR="00380C84">
        <w:rPr>
          <w:sz w:val="24"/>
          <w:szCs w:val="24"/>
        </w:rPr>
        <w:t>ected pupil growth</w:t>
      </w:r>
      <w:r w:rsidR="007A23C5" w:rsidRPr="00D40560">
        <w:rPr>
          <w:sz w:val="24"/>
          <w:szCs w:val="24"/>
        </w:rPr>
        <w:t xml:space="preserve"> account</w:t>
      </w:r>
      <w:r w:rsidR="00380C84">
        <w:rPr>
          <w:sz w:val="24"/>
          <w:szCs w:val="24"/>
        </w:rPr>
        <w:t>s</w:t>
      </w:r>
      <w:r w:rsidR="007A23C5" w:rsidRPr="00D40560">
        <w:rPr>
          <w:sz w:val="24"/>
          <w:szCs w:val="24"/>
        </w:rPr>
        <w:t xml:space="preserve"> </w:t>
      </w:r>
      <w:r w:rsidR="001257DF" w:rsidRPr="00D40560">
        <w:rPr>
          <w:sz w:val="24"/>
          <w:szCs w:val="24"/>
        </w:rPr>
        <w:t xml:space="preserve">for a large share of the projected increase in education spending.  While </w:t>
      </w:r>
      <w:r w:rsidR="00380C84">
        <w:rPr>
          <w:sz w:val="24"/>
          <w:szCs w:val="24"/>
        </w:rPr>
        <w:t>pupil growth</w:t>
      </w:r>
      <w:r w:rsidR="001257DF" w:rsidRPr="00D40560">
        <w:rPr>
          <w:sz w:val="24"/>
          <w:szCs w:val="24"/>
        </w:rPr>
        <w:t xml:space="preserve"> results in a significant cost increase for the State, it does not </w:t>
      </w:r>
      <w:r w:rsidR="009634EE" w:rsidRPr="00D40560">
        <w:rPr>
          <w:sz w:val="24"/>
          <w:szCs w:val="24"/>
        </w:rPr>
        <w:t xml:space="preserve">provide additional per pupil funding for school districts. </w:t>
      </w:r>
      <w:r w:rsidR="00E21DD2" w:rsidRPr="00D40560">
        <w:rPr>
          <w:sz w:val="24"/>
          <w:szCs w:val="24"/>
        </w:rPr>
        <w:t xml:space="preserve">The latest forecast shows that </w:t>
      </w:r>
      <w:r w:rsidR="009634EE" w:rsidRPr="00D40560">
        <w:rPr>
          <w:sz w:val="24"/>
          <w:szCs w:val="24"/>
        </w:rPr>
        <w:t>pupil growth</w:t>
      </w:r>
      <w:r w:rsidR="00E21DD2" w:rsidRPr="00D40560">
        <w:rPr>
          <w:sz w:val="24"/>
          <w:szCs w:val="24"/>
        </w:rPr>
        <w:t xml:space="preserve"> in the 2018-19 biennium</w:t>
      </w:r>
      <w:r w:rsidR="009634EE" w:rsidRPr="00D40560">
        <w:rPr>
          <w:sz w:val="24"/>
          <w:szCs w:val="24"/>
        </w:rPr>
        <w:t xml:space="preserve"> is projected to exceed previous forecasts</w:t>
      </w:r>
      <w:r w:rsidR="00E21DD2" w:rsidRPr="00D40560">
        <w:rPr>
          <w:sz w:val="24"/>
          <w:szCs w:val="24"/>
        </w:rPr>
        <w:t xml:space="preserve"> by </w:t>
      </w:r>
      <w:r w:rsidR="00F76B89" w:rsidRPr="00D40560">
        <w:rPr>
          <w:sz w:val="24"/>
          <w:szCs w:val="24"/>
        </w:rPr>
        <w:t>26,000 pupils.</w:t>
      </w:r>
      <w:r w:rsidR="009634EE" w:rsidRPr="00D40560">
        <w:rPr>
          <w:sz w:val="24"/>
          <w:szCs w:val="24"/>
        </w:rPr>
        <w:t xml:space="preserve"> </w:t>
      </w:r>
      <w:r w:rsidR="009634EE" w:rsidRPr="00D40560">
        <w:rPr>
          <w:b/>
          <w:sz w:val="24"/>
          <w:szCs w:val="24"/>
        </w:rPr>
        <w:t xml:space="preserve">The increased number of pupils accounts for </w:t>
      </w:r>
      <w:r w:rsidR="00F76B89" w:rsidRPr="00D40560">
        <w:rPr>
          <w:b/>
          <w:sz w:val="24"/>
          <w:szCs w:val="24"/>
        </w:rPr>
        <w:t xml:space="preserve">almost </w:t>
      </w:r>
      <w:r w:rsidR="009634EE" w:rsidRPr="00D40560">
        <w:rPr>
          <w:b/>
          <w:sz w:val="24"/>
          <w:szCs w:val="24"/>
        </w:rPr>
        <w:t>$2</w:t>
      </w:r>
      <w:r w:rsidR="00F76B89" w:rsidRPr="00D40560">
        <w:rPr>
          <w:b/>
          <w:sz w:val="24"/>
          <w:szCs w:val="24"/>
        </w:rPr>
        <w:t>23</w:t>
      </w:r>
      <w:r w:rsidR="009634EE" w:rsidRPr="00D40560">
        <w:rPr>
          <w:b/>
          <w:sz w:val="24"/>
          <w:szCs w:val="24"/>
        </w:rPr>
        <w:t xml:space="preserve"> million of the projected</w:t>
      </w:r>
      <w:r w:rsidR="002567AF" w:rsidRPr="00D40560">
        <w:rPr>
          <w:b/>
          <w:sz w:val="24"/>
          <w:szCs w:val="24"/>
        </w:rPr>
        <w:t xml:space="preserve"> biennial increase in education spending.</w:t>
      </w:r>
    </w:p>
    <w:p w14:paraId="1D57BCCB" w14:textId="02BE685B" w:rsidR="00E21DD2" w:rsidRPr="00D40560" w:rsidRDefault="00E21DD2" w:rsidP="007459EB">
      <w:pPr>
        <w:rPr>
          <w:b/>
          <w:sz w:val="24"/>
          <w:szCs w:val="24"/>
        </w:rPr>
      </w:pPr>
      <w:r w:rsidRPr="00D40560">
        <w:rPr>
          <w:b/>
          <w:sz w:val="24"/>
          <w:szCs w:val="24"/>
        </w:rPr>
        <w:lastRenderedPageBreak/>
        <w:t>Second Year Effect</w:t>
      </w:r>
    </w:p>
    <w:p w14:paraId="0E8D3F71" w14:textId="06BA7A2A" w:rsidR="005362ED" w:rsidRPr="00D40560" w:rsidRDefault="00A26F47" w:rsidP="007357D4">
      <w:pPr>
        <w:rPr>
          <w:sz w:val="24"/>
          <w:szCs w:val="24"/>
        </w:rPr>
      </w:pPr>
      <w:r w:rsidRPr="00D40560">
        <w:rPr>
          <w:sz w:val="24"/>
          <w:szCs w:val="24"/>
        </w:rPr>
        <w:t xml:space="preserve">A third factor arises when the Legislature enacts a </w:t>
      </w:r>
      <w:r w:rsidR="005362ED" w:rsidRPr="00D40560">
        <w:rPr>
          <w:sz w:val="24"/>
          <w:szCs w:val="24"/>
        </w:rPr>
        <w:t>new program</w:t>
      </w:r>
      <w:r w:rsidRPr="00D40560">
        <w:rPr>
          <w:sz w:val="24"/>
          <w:szCs w:val="24"/>
        </w:rPr>
        <w:t xml:space="preserve"> </w:t>
      </w:r>
      <w:r w:rsidR="002E6F82" w:rsidRPr="00D40560">
        <w:rPr>
          <w:sz w:val="24"/>
          <w:szCs w:val="24"/>
        </w:rPr>
        <w:t>or increases funding for an existing program</w:t>
      </w:r>
      <w:r w:rsidR="000745BE" w:rsidRPr="00D40560">
        <w:rPr>
          <w:sz w:val="24"/>
          <w:szCs w:val="24"/>
        </w:rPr>
        <w:t xml:space="preserve"> </w:t>
      </w:r>
      <w:r w:rsidRPr="00D40560">
        <w:rPr>
          <w:sz w:val="24"/>
          <w:szCs w:val="24"/>
        </w:rPr>
        <w:t>effect</w:t>
      </w:r>
      <w:r w:rsidR="000745BE" w:rsidRPr="00D40560">
        <w:rPr>
          <w:sz w:val="24"/>
          <w:szCs w:val="24"/>
        </w:rPr>
        <w:t>ive</w:t>
      </w:r>
      <w:r w:rsidRPr="00D40560">
        <w:rPr>
          <w:sz w:val="24"/>
          <w:szCs w:val="24"/>
        </w:rPr>
        <w:t xml:space="preserve"> in the second year of the biennium.</w:t>
      </w:r>
      <w:r w:rsidR="005362ED" w:rsidRPr="00D40560">
        <w:rPr>
          <w:sz w:val="24"/>
          <w:szCs w:val="24"/>
        </w:rPr>
        <w:t xml:space="preserve"> </w:t>
      </w:r>
      <w:r w:rsidR="002E6F82" w:rsidRPr="00D40560">
        <w:rPr>
          <w:sz w:val="24"/>
          <w:szCs w:val="24"/>
        </w:rPr>
        <w:t xml:space="preserve">In this case, the program only requires one year of funding in the current biennium but must be funded for BOTH years </w:t>
      </w:r>
      <w:r w:rsidR="00380C84">
        <w:rPr>
          <w:sz w:val="24"/>
          <w:szCs w:val="24"/>
        </w:rPr>
        <w:t>in</w:t>
      </w:r>
      <w:r w:rsidR="002E6F82" w:rsidRPr="00D40560">
        <w:rPr>
          <w:sz w:val="24"/>
          <w:szCs w:val="24"/>
        </w:rPr>
        <w:t xml:space="preserve"> the subsequent biennium.  There are two significant examples of this from the 2016-17 biennium. </w:t>
      </w:r>
    </w:p>
    <w:p w14:paraId="7F90781C" w14:textId="3506F033" w:rsidR="00C51F9E" w:rsidRPr="00D40560" w:rsidRDefault="007357D4" w:rsidP="000745BE">
      <w:pPr>
        <w:pStyle w:val="ListParagraph"/>
        <w:numPr>
          <w:ilvl w:val="0"/>
          <w:numId w:val="2"/>
        </w:numPr>
        <w:rPr>
          <w:b/>
          <w:sz w:val="24"/>
          <w:szCs w:val="24"/>
        </w:rPr>
      </w:pPr>
      <w:r w:rsidRPr="00D40560">
        <w:rPr>
          <w:b/>
          <w:sz w:val="24"/>
          <w:szCs w:val="24"/>
        </w:rPr>
        <w:t>Long-term Facilities and Maintenance Revenue</w:t>
      </w:r>
      <w:r w:rsidR="00C51F9E" w:rsidRPr="00D40560">
        <w:rPr>
          <w:b/>
          <w:sz w:val="24"/>
          <w:szCs w:val="24"/>
        </w:rPr>
        <w:t xml:space="preserve"> P</w:t>
      </w:r>
      <w:r w:rsidRPr="00D40560">
        <w:rPr>
          <w:b/>
          <w:sz w:val="24"/>
          <w:szCs w:val="24"/>
        </w:rPr>
        <w:t>rogram</w:t>
      </w:r>
      <w:r w:rsidR="00E21DD2" w:rsidRPr="00D40560">
        <w:rPr>
          <w:b/>
          <w:sz w:val="24"/>
          <w:szCs w:val="24"/>
        </w:rPr>
        <w:t>. ($131</w:t>
      </w:r>
      <w:r w:rsidR="00C51F9E" w:rsidRPr="00D40560">
        <w:rPr>
          <w:b/>
          <w:sz w:val="24"/>
          <w:szCs w:val="24"/>
        </w:rPr>
        <w:t xml:space="preserve"> million)</w:t>
      </w:r>
    </w:p>
    <w:p w14:paraId="38E515CC" w14:textId="13FCE8C7" w:rsidR="007357D4" w:rsidRDefault="00D40560" w:rsidP="00C51F9E">
      <w:pPr>
        <w:pStyle w:val="ListParagraph"/>
        <w:rPr>
          <w:sz w:val="24"/>
          <w:szCs w:val="24"/>
        </w:rPr>
      </w:pPr>
      <w:r w:rsidRPr="00D40560">
        <w:rPr>
          <w:sz w:val="24"/>
          <w:szCs w:val="24"/>
        </w:rPr>
        <w:t>T</w:t>
      </w:r>
      <w:r w:rsidR="000745BE" w:rsidRPr="00D40560">
        <w:rPr>
          <w:sz w:val="24"/>
          <w:szCs w:val="24"/>
        </w:rPr>
        <w:t xml:space="preserve">his </w:t>
      </w:r>
      <w:r w:rsidR="00380C84">
        <w:rPr>
          <w:sz w:val="24"/>
          <w:szCs w:val="24"/>
        </w:rPr>
        <w:t xml:space="preserve">important </w:t>
      </w:r>
      <w:r w:rsidR="000745BE" w:rsidRPr="00D40560">
        <w:rPr>
          <w:sz w:val="24"/>
          <w:szCs w:val="24"/>
        </w:rPr>
        <w:t>new program</w:t>
      </w:r>
      <w:r w:rsidR="00A43ACB">
        <w:rPr>
          <w:sz w:val="24"/>
          <w:szCs w:val="24"/>
        </w:rPr>
        <w:t xml:space="preserve">, recommended in 2014 by the School Facilities Financing Working Group, </w:t>
      </w:r>
      <w:r w:rsidR="00380C84">
        <w:rPr>
          <w:sz w:val="24"/>
          <w:szCs w:val="24"/>
        </w:rPr>
        <w:t xml:space="preserve">was adopted in 2015 </w:t>
      </w:r>
      <w:r w:rsidRPr="00D40560">
        <w:rPr>
          <w:sz w:val="24"/>
          <w:szCs w:val="24"/>
        </w:rPr>
        <w:t xml:space="preserve">effective </w:t>
      </w:r>
      <w:r w:rsidR="00380C84">
        <w:rPr>
          <w:sz w:val="24"/>
          <w:szCs w:val="24"/>
        </w:rPr>
        <w:t xml:space="preserve">for the </w:t>
      </w:r>
      <w:r w:rsidRPr="00D40560">
        <w:rPr>
          <w:sz w:val="24"/>
          <w:szCs w:val="24"/>
        </w:rPr>
        <w:t xml:space="preserve">FY 2017. </w:t>
      </w:r>
      <w:r w:rsidR="00C51F9E" w:rsidRPr="00D40560">
        <w:rPr>
          <w:sz w:val="24"/>
          <w:szCs w:val="24"/>
        </w:rPr>
        <w:t>I</w:t>
      </w:r>
      <w:r w:rsidR="007357D4" w:rsidRPr="00D40560">
        <w:rPr>
          <w:sz w:val="24"/>
          <w:szCs w:val="24"/>
        </w:rPr>
        <w:t xml:space="preserve">t only required funding in the second year of the 2016-17 biennium but will need to be funded for both years of the 2018-19 biennium. </w:t>
      </w:r>
      <w:r w:rsidR="00E21DD2" w:rsidRPr="00D40560">
        <w:rPr>
          <w:b/>
          <w:sz w:val="24"/>
          <w:szCs w:val="24"/>
        </w:rPr>
        <w:t>This accounts for $131</w:t>
      </w:r>
      <w:r w:rsidR="007357D4" w:rsidRPr="00D40560">
        <w:rPr>
          <w:b/>
          <w:sz w:val="24"/>
          <w:szCs w:val="24"/>
        </w:rPr>
        <w:t xml:space="preserve"> million of the biennial increase from 2016-17 to 2018-19</w:t>
      </w:r>
      <w:r w:rsidR="007357D4" w:rsidRPr="00D40560">
        <w:rPr>
          <w:sz w:val="24"/>
          <w:szCs w:val="24"/>
        </w:rPr>
        <w:t>.</w:t>
      </w:r>
    </w:p>
    <w:p w14:paraId="40D5355B" w14:textId="55832B88" w:rsidR="00C51F9E" w:rsidRPr="00D40560" w:rsidRDefault="00C51F9E" w:rsidP="000745BE">
      <w:pPr>
        <w:pStyle w:val="ListParagraph"/>
        <w:numPr>
          <w:ilvl w:val="0"/>
          <w:numId w:val="2"/>
        </w:numPr>
        <w:rPr>
          <w:b/>
          <w:sz w:val="24"/>
          <w:szCs w:val="24"/>
        </w:rPr>
      </w:pPr>
      <w:r w:rsidRPr="00D40560">
        <w:rPr>
          <w:b/>
          <w:sz w:val="24"/>
          <w:szCs w:val="24"/>
        </w:rPr>
        <w:t>Formula Increase ($11</w:t>
      </w:r>
      <w:r w:rsidR="00C979B5" w:rsidRPr="00D40560">
        <w:rPr>
          <w:b/>
          <w:sz w:val="24"/>
          <w:szCs w:val="24"/>
        </w:rPr>
        <w:t>0</w:t>
      </w:r>
      <w:r w:rsidRPr="00D40560">
        <w:rPr>
          <w:b/>
          <w:sz w:val="24"/>
          <w:szCs w:val="24"/>
        </w:rPr>
        <w:t xml:space="preserve"> million)</w:t>
      </w:r>
    </w:p>
    <w:p w14:paraId="5FEF7055" w14:textId="555F1BF1" w:rsidR="00C51F9E" w:rsidRPr="00D40560" w:rsidRDefault="00C51F9E" w:rsidP="00C51F9E">
      <w:pPr>
        <w:pStyle w:val="ListParagraph"/>
        <w:rPr>
          <w:sz w:val="24"/>
          <w:szCs w:val="24"/>
        </w:rPr>
      </w:pPr>
      <w:r w:rsidRPr="00D40560">
        <w:rPr>
          <w:sz w:val="24"/>
          <w:szCs w:val="24"/>
        </w:rPr>
        <w:t>The 2015 Legislature approved an increase in the basic formula of 2% per year for the 2016-17 biennium. Here again, the increase that took effect in the second year of the 2016-17 biennium only had to be paid for once in that biennium but will have to be paid for in both years of the 2018-19 biennium.</w:t>
      </w:r>
    </w:p>
    <w:p w14:paraId="090A03FC" w14:textId="252E7267" w:rsidR="003117B6" w:rsidRPr="00D40560" w:rsidRDefault="00E21DD2" w:rsidP="00C4698D">
      <w:pPr>
        <w:rPr>
          <w:sz w:val="24"/>
          <w:szCs w:val="24"/>
        </w:rPr>
      </w:pPr>
      <w:r w:rsidRPr="00D40560">
        <w:rPr>
          <w:sz w:val="24"/>
          <w:szCs w:val="24"/>
        </w:rPr>
        <w:t>Additional cost drivers</w:t>
      </w:r>
      <w:r w:rsidR="00C979B5" w:rsidRPr="00D40560">
        <w:rPr>
          <w:sz w:val="24"/>
          <w:szCs w:val="24"/>
        </w:rPr>
        <w:t xml:space="preserve"> include an increase in the </w:t>
      </w:r>
      <w:r w:rsidR="00380B88" w:rsidRPr="00D40560">
        <w:rPr>
          <w:sz w:val="24"/>
          <w:szCs w:val="24"/>
        </w:rPr>
        <w:t xml:space="preserve">compensatory education program due to a higher </w:t>
      </w:r>
      <w:r w:rsidR="00C979B5" w:rsidRPr="00D40560">
        <w:rPr>
          <w:sz w:val="24"/>
          <w:szCs w:val="24"/>
        </w:rPr>
        <w:t xml:space="preserve">number of students eligible for free or reduced price lunch and some changes to </w:t>
      </w:r>
      <w:r w:rsidR="00004C0A" w:rsidRPr="00D40560">
        <w:rPr>
          <w:sz w:val="24"/>
          <w:szCs w:val="24"/>
        </w:rPr>
        <w:t>the mix of state aid vs. property tax levies.</w:t>
      </w:r>
      <w:r w:rsidR="00C979B5" w:rsidRPr="00D40560">
        <w:rPr>
          <w:sz w:val="24"/>
          <w:szCs w:val="24"/>
        </w:rPr>
        <w:t xml:space="preserve"> The 2015 education bill lowered some property tax levies and replaced the revenue with state aid. W</w:t>
      </w:r>
      <w:r w:rsidR="00380B88" w:rsidRPr="00D40560">
        <w:rPr>
          <w:sz w:val="24"/>
          <w:szCs w:val="24"/>
        </w:rPr>
        <w:t>hile such</w:t>
      </w:r>
      <w:r w:rsidR="00C979B5" w:rsidRPr="00D40560">
        <w:rPr>
          <w:sz w:val="24"/>
          <w:szCs w:val="24"/>
        </w:rPr>
        <w:t xml:space="preserve"> changes result</w:t>
      </w:r>
      <w:r w:rsidR="00930E4C" w:rsidRPr="00D40560">
        <w:rPr>
          <w:sz w:val="24"/>
          <w:szCs w:val="24"/>
        </w:rPr>
        <w:t xml:space="preserve"> in increased sp</w:t>
      </w:r>
      <w:r w:rsidR="00C979B5" w:rsidRPr="00D40560">
        <w:rPr>
          <w:sz w:val="24"/>
          <w:szCs w:val="24"/>
        </w:rPr>
        <w:t xml:space="preserve">ending for the State, </w:t>
      </w:r>
      <w:r w:rsidR="00380B88" w:rsidRPr="00D40560">
        <w:rPr>
          <w:sz w:val="24"/>
          <w:szCs w:val="24"/>
        </w:rPr>
        <w:t xml:space="preserve">they </w:t>
      </w:r>
      <w:r w:rsidR="00C979B5" w:rsidRPr="00D40560">
        <w:rPr>
          <w:sz w:val="24"/>
          <w:szCs w:val="24"/>
        </w:rPr>
        <w:t xml:space="preserve">are </w:t>
      </w:r>
      <w:r w:rsidR="00930E4C" w:rsidRPr="00D40560">
        <w:rPr>
          <w:sz w:val="24"/>
          <w:szCs w:val="24"/>
        </w:rPr>
        <w:t>revenue neutral for school districts.</w:t>
      </w:r>
    </w:p>
    <w:p w14:paraId="4DAF76C0" w14:textId="36CAB8BA" w:rsidR="00C4698D" w:rsidRPr="00D40560" w:rsidRDefault="00C4698D" w:rsidP="00C4698D">
      <w:pPr>
        <w:rPr>
          <w:sz w:val="24"/>
          <w:szCs w:val="24"/>
        </w:rPr>
      </w:pPr>
      <w:r w:rsidRPr="00A43ACB">
        <w:rPr>
          <w:b/>
          <w:sz w:val="24"/>
          <w:szCs w:val="24"/>
        </w:rPr>
        <w:t>Why is this important?</w:t>
      </w:r>
      <w:r w:rsidRPr="00D40560">
        <w:rPr>
          <w:sz w:val="24"/>
          <w:szCs w:val="24"/>
        </w:rPr>
        <w:t xml:space="preserve">  </w:t>
      </w:r>
      <w:r w:rsidR="00A26F47" w:rsidRPr="00D40560">
        <w:rPr>
          <w:sz w:val="24"/>
          <w:szCs w:val="24"/>
        </w:rPr>
        <w:t xml:space="preserve">State policymakers </w:t>
      </w:r>
      <w:r w:rsidRPr="00D40560">
        <w:rPr>
          <w:sz w:val="24"/>
          <w:szCs w:val="24"/>
        </w:rPr>
        <w:t xml:space="preserve"> may</w:t>
      </w:r>
      <w:r w:rsidR="00A26F47" w:rsidRPr="00D40560">
        <w:rPr>
          <w:sz w:val="24"/>
          <w:szCs w:val="24"/>
        </w:rPr>
        <w:t xml:space="preserve"> be led to</w:t>
      </w:r>
      <w:r w:rsidRPr="00D40560">
        <w:rPr>
          <w:sz w:val="24"/>
          <w:szCs w:val="24"/>
        </w:rPr>
        <w:t xml:space="preserve"> believe</w:t>
      </w:r>
      <w:r w:rsidR="00A26F47" w:rsidRPr="00D40560">
        <w:rPr>
          <w:sz w:val="24"/>
          <w:szCs w:val="24"/>
        </w:rPr>
        <w:t xml:space="preserve"> that</w:t>
      </w:r>
      <w:r w:rsidRPr="00D40560">
        <w:rPr>
          <w:sz w:val="24"/>
          <w:szCs w:val="24"/>
        </w:rPr>
        <w:t xml:space="preserve"> </w:t>
      </w:r>
      <w:r w:rsidR="00C979B5" w:rsidRPr="00D40560">
        <w:rPr>
          <w:sz w:val="24"/>
          <w:szCs w:val="24"/>
        </w:rPr>
        <w:t>school districts are scheduled to  receive significant new funding over the next two years if</w:t>
      </w:r>
      <w:r w:rsidRPr="00D40560">
        <w:rPr>
          <w:sz w:val="24"/>
          <w:szCs w:val="24"/>
        </w:rPr>
        <w:t xml:space="preserve"> they look</w:t>
      </w:r>
      <w:r w:rsidR="00C979B5" w:rsidRPr="00D40560">
        <w:rPr>
          <w:sz w:val="24"/>
          <w:szCs w:val="24"/>
        </w:rPr>
        <w:t xml:space="preserve"> only </w:t>
      </w:r>
      <w:r w:rsidRPr="00D40560">
        <w:rPr>
          <w:sz w:val="24"/>
          <w:szCs w:val="24"/>
        </w:rPr>
        <w:t>at the biennium to bi</w:t>
      </w:r>
      <w:r w:rsidR="00C979B5" w:rsidRPr="00D40560">
        <w:rPr>
          <w:sz w:val="24"/>
          <w:szCs w:val="24"/>
        </w:rPr>
        <w:t>ennium spending comparison.</w:t>
      </w:r>
      <w:r w:rsidRPr="00D40560">
        <w:rPr>
          <w:sz w:val="24"/>
          <w:szCs w:val="24"/>
        </w:rPr>
        <w:t xml:space="preserve">  It is important </w:t>
      </w:r>
      <w:r w:rsidR="00A26F47" w:rsidRPr="00D40560">
        <w:rPr>
          <w:sz w:val="24"/>
          <w:szCs w:val="24"/>
        </w:rPr>
        <w:t xml:space="preserve">that legislators understand that the </w:t>
      </w:r>
      <w:r w:rsidR="00893D0D">
        <w:rPr>
          <w:sz w:val="24"/>
          <w:szCs w:val="24"/>
        </w:rPr>
        <w:t xml:space="preserve">vast majority of </w:t>
      </w:r>
      <w:r w:rsidR="00A26F47" w:rsidRPr="00D40560">
        <w:rPr>
          <w:sz w:val="24"/>
          <w:szCs w:val="24"/>
        </w:rPr>
        <w:t xml:space="preserve">increased state spending described above </w:t>
      </w:r>
      <w:r w:rsidRPr="00D40560">
        <w:rPr>
          <w:sz w:val="24"/>
          <w:szCs w:val="24"/>
        </w:rPr>
        <w:t>do</w:t>
      </w:r>
      <w:r w:rsidR="00A26F47" w:rsidRPr="00D40560">
        <w:rPr>
          <w:sz w:val="24"/>
          <w:szCs w:val="24"/>
        </w:rPr>
        <w:t>es</w:t>
      </w:r>
      <w:r w:rsidRPr="00D40560">
        <w:rPr>
          <w:sz w:val="24"/>
          <w:szCs w:val="24"/>
        </w:rPr>
        <w:t xml:space="preserve"> not represent new operating revenue for sch</w:t>
      </w:r>
      <w:r w:rsidR="00380B88" w:rsidRPr="00D40560">
        <w:rPr>
          <w:sz w:val="24"/>
          <w:szCs w:val="24"/>
        </w:rPr>
        <w:t>ool districts and in no way negates the need for investments in the basic formula allowance, special education and other important education programs during the 2017 session.</w:t>
      </w:r>
    </w:p>
    <w:p w14:paraId="5F6B8A2D" w14:textId="77777777" w:rsidR="00C4698D" w:rsidRPr="00D40560" w:rsidRDefault="00C4698D" w:rsidP="00C4698D">
      <w:pPr>
        <w:rPr>
          <w:sz w:val="24"/>
          <w:szCs w:val="24"/>
        </w:rPr>
      </w:pPr>
    </w:p>
    <w:tbl>
      <w:tblPr>
        <w:tblStyle w:val="TableGrid"/>
        <w:tblW w:w="0" w:type="auto"/>
        <w:tblLook w:val="04A0" w:firstRow="1" w:lastRow="0" w:firstColumn="1" w:lastColumn="0" w:noHBand="0" w:noVBand="1"/>
      </w:tblPr>
      <w:tblGrid>
        <w:gridCol w:w="7308"/>
        <w:gridCol w:w="1710"/>
      </w:tblGrid>
      <w:tr w:rsidR="004B63B6" w:rsidRPr="00D40560" w14:paraId="6106CA00" w14:textId="77777777" w:rsidTr="004B63B6">
        <w:tc>
          <w:tcPr>
            <w:tcW w:w="7308" w:type="dxa"/>
          </w:tcPr>
          <w:p w14:paraId="263B2B22" w14:textId="74D56698" w:rsidR="004B63B6" w:rsidRPr="00D40560" w:rsidRDefault="004B63B6" w:rsidP="004B63B6">
            <w:pPr>
              <w:jc w:val="center"/>
              <w:rPr>
                <w:b/>
                <w:sz w:val="24"/>
                <w:szCs w:val="24"/>
              </w:rPr>
            </w:pPr>
            <w:r w:rsidRPr="00D40560">
              <w:rPr>
                <w:b/>
                <w:sz w:val="24"/>
                <w:szCs w:val="24"/>
              </w:rPr>
              <w:t xml:space="preserve">Major Drivers of School Funding:  </w:t>
            </w:r>
            <w:r w:rsidR="006947C9" w:rsidRPr="00D40560">
              <w:rPr>
                <w:b/>
                <w:sz w:val="24"/>
                <w:szCs w:val="24"/>
              </w:rPr>
              <w:br/>
            </w:r>
            <w:r w:rsidR="00C979B5" w:rsidRPr="00D40560">
              <w:rPr>
                <w:b/>
                <w:sz w:val="24"/>
                <w:szCs w:val="24"/>
              </w:rPr>
              <w:t>More Students, New Facitlities Funding, Second Year Funding Effect</w:t>
            </w:r>
          </w:p>
        </w:tc>
        <w:tc>
          <w:tcPr>
            <w:tcW w:w="1710" w:type="dxa"/>
          </w:tcPr>
          <w:p w14:paraId="4B19D874" w14:textId="095EA142" w:rsidR="004B63B6" w:rsidRPr="00D40560" w:rsidRDefault="004B63B6" w:rsidP="004B63B6">
            <w:pPr>
              <w:jc w:val="center"/>
              <w:rPr>
                <w:b/>
                <w:sz w:val="24"/>
                <w:szCs w:val="24"/>
              </w:rPr>
            </w:pPr>
            <w:r w:rsidRPr="00D40560">
              <w:rPr>
                <w:b/>
                <w:sz w:val="24"/>
                <w:szCs w:val="24"/>
              </w:rPr>
              <w:t>18-19 Biennium</w:t>
            </w:r>
          </w:p>
          <w:p w14:paraId="46F285E0" w14:textId="3991BD7F" w:rsidR="004B63B6" w:rsidRPr="00D40560" w:rsidRDefault="004B63B6" w:rsidP="004B63B6">
            <w:pPr>
              <w:jc w:val="center"/>
              <w:rPr>
                <w:b/>
                <w:sz w:val="24"/>
                <w:szCs w:val="24"/>
              </w:rPr>
            </w:pPr>
            <w:r w:rsidRPr="00D40560">
              <w:rPr>
                <w:b/>
                <w:sz w:val="24"/>
                <w:szCs w:val="24"/>
              </w:rPr>
              <w:t>(millions)</w:t>
            </w:r>
          </w:p>
        </w:tc>
      </w:tr>
      <w:tr w:rsidR="004B63B6" w:rsidRPr="00D40560" w14:paraId="31E5360A" w14:textId="77777777" w:rsidTr="004B63B6">
        <w:tc>
          <w:tcPr>
            <w:tcW w:w="7308" w:type="dxa"/>
          </w:tcPr>
          <w:p w14:paraId="1A88E47F" w14:textId="68EFA51C" w:rsidR="004B63B6" w:rsidRPr="00D40560" w:rsidRDefault="00C51F9E" w:rsidP="00B7184F">
            <w:pPr>
              <w:rPr>
                <w:sz w:val="24"/>
                <w:szCs w:val="24"/>
              </w:rPr>
            </w:pPr>
            <w:r w:rsidRPr="00D40560">
              <w:rPr>
                <w:sz w:val="24"/>
                <w:szCs w:val="24"/>
              </w:rPr>
              <w:t>New special education formula and increase special education costs</w:t>
            </w:r>
            <w:r w:rsidR="00B7184F" w:rsidRPr="00D40560">
              <w:rPr>
                <w:sz w:val="24"/>
                <w:szCs w:val="24"/>
              </w:rPr>
              <w:t xml:space="preserve"> </w:t>
            </w:r>
          </w:p>
        </w:tc>
        <w:tc>
          <w:tcPr>
            <w:tcW w:w="1710" w:type="dxa"/>
          </w:tcPr>
          <w:p w14:paraId="10B2AEB6" w14:textId="6EA12AF1" w:rsidR="004B63B6" w:rsidRPr="00D40560" w:rsidRDefault="00C51F9E" w:rsidP="004B63B6">
            <w:pPr>
              <w:jc w:val="center"/>
              <w:rPr>
                <w:sz w:val="24"/>
                <w:szCs w:val="24"/>
              </w:rPr>
            </w:pPr>
            <w:r w:rsidRPr="00D40560">
              <w:rPr>
                <w:sz w:val="24"/>
                <w:szCs w:val="24"/>
              </w:rPr>
              <w:t>$292</w:t>
            </w:r>
          </w:p>
        </w:tc>
      </w:tr>
      <w:tr w:rsidR="004B63B6" w:rsidRPr="00D40560" w14:paraId="52C0DB02" w14:textId="77777777" w:rsidTr="004B63B6">
        <w:tc>
          <w:tcPr>
            <w:tcW w:w="7308" w:type="dxa"/>
          </w:tcPr>
          <w:p w14:paraId="4156E0C5" w14:textId="0A79D5EC" w:rsidR="004B63B6" w:rsidRPr="00D40560" w:rsidRDefault="00C51F9E" w:rsidP="007459EB">
            <w:pPr>
              <w:rPr>
                <w:sz w:val="24"/>
                <w:szCs w:val="24"/>
              </w:rPr>
            </w:pPr>
            <w:r w:rsidRPr="00D40560">
              <w:rPr>
                <w:sz w:val="24"/>
                <w:szCs w:val="24"/>
              </w:rPr>
              <w:t>Growth in pupils served</w:t>
            </w:r>
          </w:p>
        </w:tc>
        <w:tc>
          <w:tcPr>
            <w:tcW w:w="1710" w:type="dxa"/>
          </w:tcPr>
          <w:p w14:paraId="3CF9B5D1" w14:textId="24294CDF" w:rsidR="004B63B6" w:rsidRPr="00D40560" w:rsidRDefault="00C51F9E" w:rsidP="004B63B6">
            <w:pPr>
              <w:jc w:val="center"/>
              <w:rPr>
                <w:sz w:val="24"/>
                <w:szCs w:val="24"/>
              </w:rPr>
            </w:pPr>
            <w:r w:rsidRPr="00D40560">
              <w:rPr>
                <w:sz w:val="24"/>
                <w:szCs w:val="24"/>
              </w:rPr>
              <w:t>$223</w:t>
            </w:r>
          </w:p>
        </w:tc>
      </w:tr>
      <w:tr w:rsidR="007357D4" w:rsidRPr="00D40560" w14:paraId="662F723E" w14:textId="77777777" w:rsidTr="004B63B6">
        <w:tc>
          <w:tcPr>
            <w:tcW w:w="7308" w:type="dxa"/>
          </w:tcPr>
          <w:p w14:paraId="1301A5D7" w14:textId="187A566E" w:rsidR="007357D4" w:rsidRPr="00D40560" w:rsidRDefault="007357D4" w:rsidP="007357D4">
            <w:pPr>
              <w:rPr>
                <w:sz w:val="24"/>
                <w:szCs w:val="24"/>
              </w:rPr>
            </w:pPr>
            <w:r w:rsidRPr="00D40560">
              <w:rPr>
                <w:sz w:val="24"/>
                <w:szCs w:val="24"/>
              </w:rPr>
              <w:t>New Long Term Facility Maintenance (LTFM) Scheduled Implementation</w:t>
            </w:r>
          </w:p>
        </w:tc>
        <w:tc>
          <w:tcPr>
            <w:tcW w:w="1710" w:type="dxa"/>
          </w:tcPr>
          <w:p w14:paraId="4143EEDD" w14:textId="01B25B33" w:rsidR="007357D4" w:rsidRPr="00D40560" w:rsidRDefault="00380C84" w:rsidP="007357D4">
            <w:pPr>
              <w:jc w:val="center"/>
              <w:rPr>
                <w:sz w:val="24"/>
                <w:szCs w:val="24"/>
              </w:rPr>
            </w:pPr>
            <w:r>
              <w:rPr>
                <w:sz w:val="24"/>
                <w:szCs w:val="24"/>
              </w:rPr>
              <w:t>$131</w:t>
            </w:r>
          </w:p>
        </w:tc>
      </w:tr>
      <w:tr w:rsidR="007357D4" w:rsidRPr="00D40560" w14:paraId="74D0BB5F" w14:textId="77777777" w:rsidTr="004B63B6">
        <w:tc>
          <w:tcPr>
            <w:tcW w:w="7308" w:type="dxa"/>
          </w:tcPr>
          <w:p w14:paraId="4B9EAB86" w14:textId="7867CB1A" w:rsidR="007357D4" w:rsidRPr="00D40560" w:rsidRDefault="00C979B5" w:rsidP="007357D4">
            <w:pPr>
              <w:rPr>
                <w:sz w:val="24"/>
                <w:szCs w:val="24"/>
              </w:rPr>
            </w:pPr>
            <w:r w:rsidRPr="00D40560">
              <w:rPr>
                <w:sz w:val="24"/>
                <w:szCs w:val="24"/>
              </w:rPr>
              <w:t>Second year formula increase</w:t>
            </w:r>
          </w:p>
        </w:tc>
        <w:tc>
          <w:tcPr>
            <w:tcW w:w="1710" w:type="dxa"/>
          </w:tcPr>
          <w:p w14:paraId="21271EAE" w14:textId="1B0F5D6F" w:rsidR="007357D4" w:rsidRPr="00D40560" w:rsidRDefault="00C979B5" w:rsidP="007357D4">
            <w:pPr>
              <w:jc w:val="center"/>
              <w:rPr>
                <w:sz w:val="24"/>
                <w:szCs w:val="24"/>
              </w:rPr>
            </w:pPr>
            <w:r w:rsidRPr="00D40560">
              <w:rPr>
                <w:sz w:val="24"/>
                <w:szCs w:val="24"/>
              </w:rPr>
              <w:t>$110</w:t>
            </w:r>
          </w:p>
        </w:tc>
      </w:tr>
      <w:tr w:rsidR="007357D4" w:rsidRPr="00D40560" w14:paraId="06B7B327" w14:textId="77777777" w:rsidTr="004B63B6">
        <w:tc>
          <w:tcPr>
            <w:tcW w:w="7308" w:type="dxa"/>
          </w:tcPr>
          <w:p w14:paraId="506C09E1" w14:textId="50608D53" w:rsidR="007357D4" w:rsidRPr="00D40560" w:rsidRDefault="007357D4" w:rsidP="007357D4">
            <w:pPr>
              <w:rPr>
                <w:sz w:val="24"/>
                <w:szCs w:val="24"/>
              </w:rPr>
            </w:pPr>
            <w:r w:rsidRPr="00D40560">
              <w:rPr>
                <w:sz w:val="24"/>
                <w:szCs w:val="24"/>
              </w:rPr>
              <w:t>Total</w:t>
            </w:r>
          </w:p>
        </w:tc>
        <w:tc>
          <w:tcPr>
            <w:tcW w:w="1710" w:type="dxa"/>
          </w:tcPr>
          <w:p w14:paraId="5BC3EF14" w14:textId="758969B2" w:rsidR="00380C84" w:rsidRPr="00D40560" w:rsidRDefault="00C979B5" w:rsidP="00380C84">
            <w:pPr>
              <w:jc w:val="center"/>
              <w:rPr>
                <w:sz w:val="24"/>
                <w:szCs w:val="24"/>
              </w:rPr>
            </w:pPr>
            <w:r w:rsidRPr="00D40560">
              <w:rPr>
                <w:sz w:val="24"/>
                <w:szCs w:val="24"/>
              </w:rPr>
              <w:t>$737</w:t>
            </w:r>
          </w:p>
        </w:tc>
      </w:tr>
    </w:tbl>
    <w:p w14:paraId="01318BF0" w14:textId="5AD80627" w:rsidR="006947C9" w:rsidRPr="00D40560" w:rsidRDefault="006947C9" w:rsidP="007459EB">
      <w:pPr>
        <w:rPr>
          <w:sz w:val="24"/>
          <w:szCs w:val="24"/>
        </w:rPr>
      </w:pPr>
      <w:r w:rsidRPr="00D40560">
        <w:rPr>
          <w:sz w:val="24"/>
          <w:szCs w:val="24"/>
        </w:rPr>
        <w:t xml:space="preserve"> </w:t>
      </w:r>
    </w:p>
    <w:sectPr w:rsidR="006947C9" w:rsidRPr="00D40560">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F9E779" w14:textId="77777777" w:rsidR="001001C8" w:rsidRDefault="001001C8" w:rsidP="006254C9">
      <w:pPr>
        <w:spacing w:after="0" w:line="240" w:lineRule="auto"/>
      </w:pPr>
      <w:r>
        <w:separator/>
      </w:r>
    </w:p>
  </w:endnote>
  <w:endnote w:type="continuationSeparator" w:id="0">
    <w:p w14:paraId="486D9471" w14:textId="77777777" w:rsidR="001001C8" w:rsidRDefault="001001C8" w:rsidP="00625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E33DC" w14:textId="77777777" w:rsidR="006254C9" w:rsidRDefault="006254C9" w:rsidP="003431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BBA5A4" w14:textId="77777777" w:rsidR="006254C9" w:rsidRDefault="006254C9" w:rsidP="006254C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7B884" w14:textId="41C5C272" w:rsidR="006254C9" w:rsidRDefault="006254C9" w:rsidP="003431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5F39">
      <w:rPr>
        <w:rStyle w:val="PageNumber"/>
        <w:noProof/>
      </w:rPr>
      <w:t>1</w:t>
    </w:r>
    <w:r>
      <w:rPr>
        <w:rStyle w:val="PageNumber"/>
      </w:rPr>
      <w:fldChar w:fldCharType="end"/>
    </w:r>
  </w:p>
  <w:p w14:paraId="642BBBFD" w14:textId="77777777" w:rsidR="006254C9" w:rsidRDefault="006254C9" w:rsidP="006254C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863E5" w14:textId="77777777" w:rsidR="001001C8" w:rsidRDefault="001001C8" w:rsidP="006254C9">
      <w:pPr>
        <w:spacing w:after="0" w:line="240" w:lineRule="auto"/>
      </w:pPr>
      <w:r>
        <w:separator/>
      </w:r>
    </w:p>
  </w:footnote>
  <w:footnote w:type="continuationSeparator" w:id="0">
    <w:p w14:paraId="52C56D20" w14:textId="77777777" w:rsidR="001001C8" w:rsidRDefault="001001C8" w:rsidP="006254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C22DB"/>
    <w:multiLevelType w:val="hybridMultilevel"/>
    <w:tmpl w:val="EC98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F5EEE"/>
    <w:multiLevelType w:val="hybridMultilevel"/>
    <w:tmpl w:val="381E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EB"/>
    <w:rsid w:val="00004C0A"/>
    <w:rsid w:val="000543CB"/>
    <w:rsid w:val="000633FC"/>
    <w:rsid w:val="000745BE"/>
    <w:rsid w:val="000E7229"/>
    <w:rsid w:val="001001C8"/>
    <w:rsid w:val="001257DF"/>
    <w:rsid w:val="00213A56"/>
    <w:rsid w:val="00222A39"/>
    <w:rsid w:val="00227174"/>
    <w:rsid w:val="002567AF"/>
    <w:rsid w:val="00273186"/>
    <w:rsid w:val="0029539D"/>
    <w:rsid w:val="002E6F82"/>
    <w:rsid w:val="003117B6"/>
    <w:rsid w:val="00314708"/>
    <w:rsid w:val="003626B4"/>
    <w:rsid w:val="00380B88"/>
    <w:rsid w:val="00380C84"/>
    <w:rsid w:val="004B63B6"/>
    <w:rsid w:val="004C2CB7"/>
    <w:rsid w:val="005362ED"/>
    <w:rsid w:val="005A5ED7"/>
    <w:rsid w:val="006254C9"/>
    <w:rsid w:val="00635614"/>
    <w:rsid w:val="00636B71"/>
    <w:rsid w:val="006602BE"/>
    <w:rsid w:val="006947C9"/>
    <w:rsid w:val="006B5F39"/>
    <w:rsid w:val="007357D4"/>
    <w:rsid w:val="00737601"/>
    <w:rsid w:val="007459EB"/>
    <w:rsid w:val="00774AE1"/>
    <w:rsid w:val="00784F50"/>
    <w:rsid w:val="007A23C5"/>
    <w:rsid w:val="00893D0D"/>
    <w:rsid w:val="00930E4C"/>
    <w:rsid w:val="009634EE"/>
    <w:rsid w:val="0097724F"/>
    <w:rsid w:val="009B4E2D"/>
    <w:rsid w:val="00A118D6"/>
    <w:rsid w:val="00A1369F"/>
    <w:rsid w:val="00A26F47"/>
    <w:rsid w:val="00A43ACB"/>
    <w:rsid w:val="00B075F5"/>
    <w:rsid w:val="00B7184F"/>
    <w:rsid w:val="00BC3633"/>
    <w:rsid w:val="00BC5CF7"/>
    <w:rsid w:val="00BF53BF"/>
    <w:rsid w:val="00C4698D"/>
    <w:rsid w:val="00C51F9E"/>
    <w:rsid w:val="00C979B5"/>
    <w:rsid w:val="00D40560"/>
    <w:rsid w:val="00DC0BB5"/>
    <w:rsid w:val="00E03273"/>
    <w:rsid w:val="00E21DD2"/>
    <w:rsid w:val="00E54F93"/>
    <w:rsid w:val="00E93F97"/>
    <w:rsid w:val="00EB45E9"/>
    <w:rsid w:val="00F0395C"/>
    <w:rsid w:val="00F76B89"/>
    <w:rsid w:val="00F84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61FD02"/>
  <w15:docId w15:val="{A44C7D2C-7C8F-46B1-BE2C-B6AE6FA9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3B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53BF"/>
    <w:rPr>
      <w:rFonts w:ascii="Lucida Grande" w:hAnsi="Lucida Grande" w:cs="Lucida Grande"/>
      <w:sz w:val="18"/>
      <w:szCs w:val="18"/>
    </w:rPr>
  </w:style>
  <w:style w:type="paragraph" w:styleId="Caption">
    <w:name w:val="caption"/>
    <w:basedOn w:val="Normal"/>
    <w:next w:val="Normal"/>
    <w:uiPriority w:val="35"/>
    <w:unhideWhenUsed/>
    <w:qFormat/>
    <w:rsid w:val="00BF53BF"/>
    <w:pPr>
      <w:spacing w:after="200" w:line="240" w:lineRule="auto"/>
    </w:pPr>
    <w:rPr>
      <w:b/>
      <w:bCs/>
      <w:color w:val="4472C4" w:themeColor="accent1"/>
      <w:sz w:val="18"/>
      <w:szCs w:val="18"/>
    </w:rPr>
  </w:style>
  <w:style w:type="paragraph" w:styleId="Footer">
    <w:name w:val="footer"/>
    <w:basedOn w:val="Normal"/>
    <w:link w:val="FooterChar"/>
    <w:uiPriority w:val="99"/>
    <w:unhideWhenUsed/>
    <w:rsid w:val="006254C9"/>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54C9"/>
  </w:style>
  <w:style w:type="character" w:styleId="PageNumber">
    <w:name w:val="page number"/>
    <w:basedOn w:val="DefaultParagraphFont"/>
    <w:uiPriority w:val="99"/>
    <w:semiHidden/>
    <w:unhideWhenUsed/>
    <w:rsid w:val="006254C9"/>
  </w:style>
  <w:style w:type="table" w:styleId="TableGrid">
    <w:name w:val="Table Grid"/>
    <w:basedOn w:val="TableNormal"/>
    <w:uiPriority w:val="39"/>
    <w:rsid w:val="004B6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7AE8F5-A0DC-4FF9-B7AA-4B36B2AA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ORourke</dc:creator>
  <cp:keywords/>
  <dc:description/>
  <cp:lastModifiedBy>Fred Nolan</cp:lastModifiedBy>
  <cp:revision>2</cp:revision>
  <cp:lastPrinted>2017-01-16T18:41:00Z</cp:lastPrinted>
  <dcterms:created xsi:type="dcterms:W3CDTF">2017-01-17T14:02:00Z</dcterms:created>
  <dcterms:modified xsi:type="dcterms:W3CDTF">2017-01-17T14:02:00Z</dcterms:modified>
</cp:coreProperties>
</file>