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lang w:bidi="ar-SA"/>
        </w:rPr>
        <w:id w:val="10729564"/>
        <w:docPartObj>
          <w:docPartGallery w:val="Cover Pages"/>
          <w:docPartUnique/>
        </w:docPartObj>
      </w:sdtPr>
      <w:sdtEndPr>
        <w:rPr>
          <w:szCs w:val="20"/>
          <w:lang w:bidi="en-US"/>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tbl>
          <w:tblPr>
            <w:tblW w:w="5000" w:type="pct"/>
            <w:jc w:val="center"/>
            <w:shd w:val="clear" w:color="auto" w:fill="FFFFFF"/>
            <w:tblCellMar>
              <w:left w:w="0" w:type="dxa"/>
              <w:right w:w="0" w:type="dxa"/>
            </w:tblCellMar>
            <w:tblLook w:val="04A0" w:firstRow="1" w:lastRow="0" w:firstColumn="1" w:lastColumn="0" w:noHBand="0" w:noVBand="1"/>
          </w:tblPr>
          <w:tblGrid>
            <w:gridCol w:w="10080"/>
          </w:tblGrid>
          <w:tr w:rsidR="00755FDE" w:rsidRPr="00755FDE" w:rsidTr="00755FDE">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040"/>
                  <w:gridCol w:w="5040"/>
                </w:tblGrid>
                <w:tr w:rsidR="00755FDE" w:rsidRPr="00755FDE">
                  <w:trPr>
                    <w:jc w:val="center"/>
                  </w:trPr>
                  <w:tc>
                    <w:tcPr>
                      <w:tcW w:w="2500" w:type="pct"/>
                      <w:hideMark/>
                    </w:tcPr>
                    <w:p w:rsidR="00755FDE" w:rsidRPr="00755FDE" w:rsidRDefault="00755FDE" w:rsidP="00755FDE">
                      <w:pPr>
                        <w:spacing w:before="0" w:after="0" w:line="240" w:lineRule="auto"/>
                        <w:rPr>
                          <w:rFonts w:ascii="Times New Roman" w:hAnsi="Times New Roman"/>
                          <w:sz w:val="24"/>
                          <w:szCs w:val="24"/>
                          <w:lang w:bidi="ar-SA"/>
                        </w:rPr>
                      </w:pPr>
                      <w:r w:rsidRPr="00755FDE">
                        <w:rPr>
                          <w:rFonts w:ascii="Times New Roman" w:hAnsi="Times New Roman"/>
                          <w:sz w:val="24"/>
                          <w:szCs w:val="24"/>
                          <w:lang w:bidi="ar-SA"/>
                        </w:rPr>
                        <w:t> </w:t>
                      </w:r>
                    </w:p>
                  </w:tc>
                  <w:tc>
                    <w:tcPr>
                      <w:tcW w:w="2500" w:type="pct"/>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5040"/>
                      </w:tblGrid>
                      <w:tr w:rsidR="00755FDE" w:rsidRPr="00755FDE">
                        <w:tc>
                          <w:tcPr>
                            <w:tcW w:w="5000" w:type="pct"/>
                            <w:tcMar>
                              <w:top w:w="0" w:type="dxa"/>
                              <w:left w:w="300" w:type="dxa"/>
                              <w:bottom w:w="0" w:type="dxa"/>
                              <w:right w:w="300" w:type="dxa"/>
                            </w:tcMar>
                            <w:vAlign w:val="center"/>
                            <w:hideMark/>
                          </w:tcPr>
                          <w:p w:rsidR="00755FDE" w:rsidRPr="00755FDE" w:rsidRDefault="00755FDE" w:rsidP="00755FDE">
                            <w:pPr>
                              <w:spacing w:before="0" w:after="0" w:line="264" w:lineRule="auto"/>
                              <w:jc w:val="right"/>
                              <w:rPr>
                                <w:rFonts w:eastAsia="Calibri"/>
                                <w:color w:val="000000"/>
                                <w:sz w:val="21"/>
                                <w:szCs w:val="21"/>
                                <w:lang w:bidi="ar-SA"/>
                              </w:rPr>
                            </w:pPr>
                            <w:r w:rsidRPr="00755FDE">
                              <w:rPr>
                                <w:rFonts w:eastAsia="Calibri"/>
                                <w:color w:val="000000"/>
                                <w:sz w:val="21"/>
                                <w:szCs w:val="21"/>
                                <w:lang w:bidi="ar-SA"/>
                              </w:rPr>
                              <w:t>May 24, 2018</w:t>
                            </w:r>
                          </w:p>
                          <w:p w:rsidR="00755FDE" w:rsidRPr="00755FDE" w:rsidRDefault="00755FDE" w:rsidP="00755FDE">
                            <w:pPr>
                              <w:spacing w:before="0" w:after="0" w:line="264" w:lineRule="auto"/>
                              <w:jc w:val="right"/>
                              <w:rPr>
                                <w:rFonts w:eastAsia="Calibri"/>
                                <w:color w:val="000000"/>
                                <w:sz w:val="21"/>
                                <w:szCs w:val="21"/>
                                <w:lang w:bidi="ar-SA"/>
                              </w:rPr>
                            </w:pPr>
                            <w:r w:rsidRPr="00755FDE">
                              <w:rPr>
                                <w:rFonts w:eastAsia="Calibri"/>
                                <w:color w:val="000000"/>
                                <w:sz w:val="21"/>
                                <w:szCs w:val="21"/>
                                <w:lang w:bidi="ar-SA"/>
                              </w:rPr>
                              <w:t> </w:t>
                            </w:r>
                          </w:p>
                        </w:tc>
                      </w:tr>
                    </w:tbl>
                    <w:p w:rsidR="00755FDE" w:rsidRPr="00755FDE" w:rsidRDefault="00755FDE" w:rsidP="00755FDE">
                      <w:pPr>
                        <w:spacing w:before="0" w:after="0" w:line="240" w:lineRule="auto"/>
                        <w:rPr>
                          <w:rFonts w:ascii="Times New Roman" w:hAnsi="Times New Roman"/>
                          <w:sz w:val="20"/>
                          <w:szCs w:val="20"/>
                          <w:lang w:bidi="ar-SA"/>
                        </w:rPr>
                      </w:pPr>
                    </w:p>
                  </w:tc>
                </w:tr>
              </w:tbl>
              <w:p w:rsidR="00755FDE" w:rsidRPr="00755FDE" w:rsidRDefault="00755FDE" w:rsidP="00755FDE">
                <w:pPr>
                  <w:spacing w:before="0" w:after="0" w:line="240" w:lineRule="auto"/>
                  <w:jc w:val="center"/>
                  <w:rPr>
                    <w:rFonts w:ascii="Times New Roman" w:hAnsi="Times New Roman"/>
                    <w:sz w:val="20"/>
                    <w:szCs w:val="20"/>
                    <w:lang w:bidi="ar-SA"/>
                  </w:rPr>
                </w:pPr>
              </w:p>
            </w:tc>
          </w:tr>
          <w:tr w:rsidR="00755FDE" w:rsidRPr="00755FDE" w:rsidTr="00755FDE">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10080"/>
                </w:tblGrid>
                <w:tr w:rsidR="00755FDE" w:rsidRPr="00755FDE">
                  <w:trPr>
                    <w:jc w:val="center"/>
                  </w:trPr>
                  <w:tc>
                    <w:tcPr>
                      <w:tcW w:w="5000" w:type="pct"/>
                      <w:tcMar>
                        <w:top w:w="150" w:type="dxa"/>
                        <w:left w:w="300" w:type="dxa"/>
                        <w:bottom w:w="300" w:type="dxa"/>
                        <w:right w:w="300" w:type="dxa"/>
                      </w:tcMar>
                      <w:vAlign w:val="center"/>
                      <w:hideMark/>
                    </w:tcPr>
                    <w:p w:rsidR="00755FDE" w:rsidRPr="00755FDE" w:rsidRDefault="00755FDE" w:rsidP="00755FDE">
                      <w:pPr>
                        <w:spacing w:before="300" w:after="150" w:line="264" w:lineRule="auto"/>
                        <w:jc w:val="center"/>
                        <w:outlineLvl w:val="0"/>
                        <w:rPr>
                          <w:b/>
                          <w:bCs/>
                          <w:color w:val="000000"/>
                          <w:kern w:val="36"/>
                          <w:sz w:val="39"/>
                          <w:szCs w:val="39"/>
                          <w:lang w:bidi="ar-SA"/>
                        </w:rPr>
                      </w:pPr>
                      <w:r w:rsidRPr="00755FDE">
                        <w:rPr>
                          <w:b/>
                          <w:bCs/>
                          <w:color w:val="000000"/>
                          <w:kern w:val="36"/>
                          <w:sz w:val="39"/>
                          <w:szCs w:val="39"/>
                          <w:lang w:bidi="ar-SA"/>
                        </w:rPr>
                        <w:t>Impact of Governor's Veto of Omnibus Supplemental Budget Bill on Current Law State Aids </w:t>
                      </w:r>
                    </w:p>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color w:val="000000"/>
                          <w:sz w:val="21"/>
                          <w:szCs w:val="21"/>
                          <w:lang w:bidi="ar-SA"/>
                        </w:rPr>
                        <w:t>The Omnibus Supplemental Budget Bill, S.F. 3656, includes adjustments to school aid appropriations for FY 2018 and FY 2019 made by the 2017 E-12 Education Act to reflect changes in estimated aids based on the February 2018 forecast. This includes appropriations for the current and final payments of FY 2018 aid entitlements, and the current payments of FY 2019 aid entitlements. For some programs—notably special education aid—the February 2018 estimates of the appropriations needed to fully fund school aid entitlements are higher than estimated when the appropriations were made by the 2017 E-12 Education Act; for other programs, the February 2018 estimates are lower.</w:t>
                      </w:r>
                    </w:p>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color w:val="000000"/>
                          <w:sz w:val="21"/>
                          <w:szCs w:val="21"/>
                          <w:lang w:bidi="ar-SA"/>
                        </w:rPr>
                        <w:t>With Governor Dayton’s veto of the supplemental budget bill, the adjustments to these appropriations will not occur over the summer as they have in the past. As a result, we will need to prorate some of the aid payments in the fall. However, the November forecast will reflect the estimated need in the FY 2019 clean-up appropriation to meet the full FY 2018 entitlement. This will allow the 2019 Legislature to pass a forecast bill that fully funds the 2018 entitlements. In addition, there are factors that mitigate the impact on school districts, charter schools and cooperatives.</w:t>
                      </w:r>
                    </w:p>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color w:val="000000"/>
                          <w:sz w:val="21"/>
                          <w:szCs w:val="21"/>
                          <w:lang w:bidi="ar-SA"/>
                        </w:rPr>
                        <w:t>First, the appropriations for general education aid and debt service equalization aid are open and standing, so no proration will occur for these aids. Second, Minnesota Statutes, section 127A.41, subdivisions 8 and 9, authorize the commissioner of management and budget to make transfers from appropriation accounts that have a surplus to appropriation accounts that are in deficit to reduce or eliminate the proration in accounts that are in deficit:</w:t>
                      </w:r>
                    </w:p>
                    <w:p w:rsidR="00755FDE" w:rsidRPr="00755FDE" w:rsidRDefault="00755FDE" w:rsidP="00755FDE">
                      <w:pPr>
                        <w:spacing w:before="100" w:beforeAutospacing="1" w:after="100" w:afterAutospacing="1" w:line="264" w:lineRule="auto"/>
                        <w:ind w:left="720"/>
                        <w:rPr>
                          <w:rFonts w:ascii="Times New Roman" w:eastAsia="Calibri" w:hAnsi="Times New Roman"/>
                          <w:color w:val="000000"/>
                          <w:sz w:val="21"/>
                          <w:szCs w:val="21"/>
                          <w:lang w:bidi="ar-SA"/>
                        </w:rPr>
                      </w:pPr>
                      <w:r w:rsidRPr="00755FDE">
                        <w:rPr>
                          <w:rFonts w:eastAsia="Calibri"/>
                          <w:i/>
                          <w:iCs/>
                          <w:color w:val="000000"/>
                          <w:sz w:val="21"/>
                          <w:szCs w:val="21"/>
                          <w:lang w:bidi="ar-SA"/>
                        </w:rPr>
                        <w:t>127A.41 DISTRIBUTION OF SCHOOL AIDS; APPROPRIATION.</w:t>
                      </w:r>
                    </w:p>
                    <w:p w:rsidR="00755FDE" w:rsidRPr="00755FDE" w:rsidRDefault="00755FDE" w:rsidP="00755FDE">
                      <w:pPr>
                        <w:spacing w:before="100" w:beforeAutospacing="1" w:after="100" w:afterAutospacing="1" w:line="264" w:lineRule="auto"/>
                        <w:ind w:left="720"/>
                        <w:rPr>
                          <w:rFonts w:ascii="Times New Roman" w:eastAsia="Calibri" w:hAnsi="Times New Roman"/>
                          <w:color w:val="000000"/>
                          <w:sz w:val="21"/>
                          <w:szCs w:val="21"/>
                          <w:lang w:bidi="ar-SA"/>
                        </w:rPr>
                      </w:pPr>
                      <w:r w:rsidRPr="00755FDE">
                        <w:rPr>
                          <w:rFonts w:eastAsia="Calibri"/>
                          <w:i/>
                          <w:iCs/>
                          <w:color w:val="000000"/>
                          <w:sz w:val="21"/>
                          <w:szCs w:val="21"/>
                          <w:lang w:bidi="ar-SA"/>
                        </w:rPr>
                        <w:t>Subd. 8. Appropriation transfers.</w:t>
                      </w:r>
                    </w:p>
                    <w:p w:rsidR="00755FDE" w:rsidRPr="00755FDE" w:rsidRDefault="00755FDE" w:rsidP="00755FDE">
                      <w:pPr>
                        <w:spacing w:before="100" w:beforeAutospacing="1" w:after="100" w:afterAutospacing="1" w:line="264" w:lineRule="auto"/>
                        <w:ind w:left="720"/>
                        <w:rPr>
                          <w:rFonts w:ascii="Times New Roman" w:eastAsia="Calibri" w:hAnsi="Times New Roman"/>
                          <w:color w:val="000000"/>
                          <w:sz w:val="21"/>
                          <w:szCs w:val="21"/>
                          <w:lang w:bidi="ar-SA"/>
                        </w:rPr>
                      </w:pPr>
                      <w:r w:rsidRPr="00755FDE">
                        <w:rPr>
                          <w:rFonts w:eastAsia="Calibri"/>
                          <w:i/>
                          <w:iCs/>
                          <w:color w:val="000000"/>
                          <w:lang w:bidi="ar-SA"/>
                        </w:rPr>
                        <w:t>(a) If a direct appropriation from the general fund to the department for any education aid or grant authorized in this chapter and chapters 122A, 123A, 123B, 124D, 124E, 125A, 126C, and 134, excluding appropriations under sections</w:t>
                      </w:r>
                      <w:r w:rsidRPr="00755FDE">
                        <w:rPr>
                          <w:rFonts w:eastAsia="Calibri"/>
                          <w:i/>
                          <w:iCs/>
                          <w:color w:val="000000"/>
                          <w:sz w:val="21"/>
                          <w:szCs w:val="21"/>
                          <w:lang w:bidi="ar-SA"/>
                        </w:rPr>
                        <w:t> </w:t>
                      </w:r>
                      <w:hyperlink r:id="rId12" w:history="1">
                        <w:r w:rsidRPr="00755FDE">
                          <w:rPr>
                            <w:rFonts w:eastAsia="Calibri"/>
                            <w:i/>
                            <w:iCs/>
                            <w:color w:val="0000FF"/>
                            <w:sz w:val="21"/>
                            <w:szCs w:val="21"/>
                            <w:u w:val="single"/>
                            <w:lang w:bidi="ar-SA"/>
                          </w:rPr>
                          <w:t>124D.135</w:t>
                        </w:r>
                      </w:hyperlink>
                      <w:r w:rsidRPr="00755FDE">
                        <w:rPr>
                          <w:rFonts w:eastAsia="Calibri"/>
                          <w:i/>
                          <w:iCs/>
                          <w:color w:val="000000"/>
                          <w:sz w:val="21"/>
                          <w:szCs w:val="21"/>
                          <w:lang w:bidi="ar-SA"/>
                        </w:rPr>
                        <w:t>, </w:t>
                      </w:r>
                      <w:hyperlink r:id="rId13" w:history="1">
                        <w:r w:rsidRPr="00755FDE">
                          <w:rPr>
                            <w:rFonts w:eastAsia="Calibri"/>
                            <w:i/>
                            <w:iCs/>
                            <w:color w:val="0000FF"/>
                            <w:sz w:val="21"/>
                            <w:szCs w:val="21"/>
                            <w:u w:val="single"/>
                            <w:lang w:bidi="ar-SA"/>
                          </w:rPr>
                          <w:t>124D.16</w:t>
                        </w:r>
                      </w:hyperlink>
                      <w:r w:rsidRPr="00755FDE">
                        <w:rPr>
                          <w:rFonts w:eastAsia="Calibri"/>
                          <w:i/>
                          <w:iCs/>
                          <w:color w:val="000000"/>
                          <w:sz w:val="21"/>
                          <w:szCs w:val="21"/>
                          <w:lang w:bidi="ar-SA"/>
                        </w:rPr>
                        <w:t>, </w:t>
                      </w:r>
                      <w:hyperlink r:id="rId14" w:history="1">
                        <w:r w:rsidRPr="00755FDE">
                          <w:rPr>
                            <w:rFonts w:eastAsia="Calibri"/>
                            <w:i/>
                            <w:iCs/>
                            <w:color w:val="0000FF"/>
                            <w:sz w:val="21"/>
                            <w:szCs w:val="21"/>
                            <w:u w:val="single"/>
                            <w:lang w:bidi="ar-SA"/>
                          </w:rPr>
                          <w:t>124D.20</w:t>
                        </w:r>
                      </w:hyperlink>
                      <w:r w:rsidRPr="00755FDE">
                        <w:rPr>
                          <w:rFonts w:eastAsia="Calibri"/>
                          <w:i/>
                          <w:iCs/>
                          <w:color w:val="000000"/>
                          <w:sz w:val="21"/>
                          <w:szCs w:val="21"/>
                          <w:lang w:bidi="ar-SA"/>
                        </w:rPr>
                        <w:t>, </w:t>
                      </w:r>
                      <w:hyperlink r:id="rId15" w:history="1">
                        <w:r w:rsidRPr="00755FDE">
                          <w:rPr>
                            <w:rFonts w:eastAsia="Calibri"/>
                            <w:i/>
                            <w:iCs/>
                            <w:color w:val="0000FF"/>
                            <w:sz w:val="21"/>
                            <w:szCs w:val="21"/>
                            <w:u w:val="single"/>
                            <w:lang w:bidi="ar-SA"/>
                          </w:rPr>
                          <w:t>124D.22</w:t>
                        </w:r>
                      </w:hyperlink>
                      <w:r w:rsidRPr="00755FDE">
                        <w:rPr>
                          <w:rFonts w:eastAsia="Calibri"/>
                          <w:i/>
                          <w:iCs/>
                          <w:color w:val="000000"/>
                          <w:sz w:val="21"/>
                          <w:szCs w:val="21"/>
                          <w:lang w:bidi="ar-SA"/>
                        </w:rPr>
                        <w:t>, </w:t>
                      </w:r>
                      <w:hyperlink r:id="rId16" w:history="1">
                        <w:r w:rsidRPr="00755FDE">
                          <w:rPr>
                            <w:rFonts w:eastAsia="Calibri"/>
                            <w:i/>
                            <w:iCs/>
                            <w:color w:val="0000FF"/>
                            <w:sz w:val="21"/>
                            <w:szCs w:val="21"/>
                            <w:u w:val="single"/>
                            <w:lang w:bidi="ar-SA"/>
                          </w:rPr>
                          <w:t>124D.52</w:t>
                        </w:r>
                      </w:hyperlink>
                      <w:r w:rsidRPr="00755FDE">
                        <w:rPr>
                          <w:rFonts w:eastAsia="Calibri"/>
                          <w:i/>
                          <w:iCs/>
                          <w:color w:val="000000"/>
                          <w:sz w:val="21"/>
                          <w:szCs w:val="21"/>
                          <w:lang w:bidi="ar-SA"/>
                        </w:rPr>
                        <w:t>,</w:t>
                      </w:r>
                      <w:hyperlink r:id="rId17" w:history="1">
                        <w:r w:rsidRPr="00755FDE">
                          <w:rPr>
                            <w:rFonts w:eastAsia="Calibri"/>
                            <w:i/>
                            <w:iCs/>
                            <w:color w:val="0000FF"/>
                            <w:sz w:val="21"/>
                            <w:szCs w:val="21"/>
                            <w:u w:val="single"/>
                            <w:lang w:bidi="ar-SA"/>
                          </w:rPr>
                          <w:t>124D.531</w:t>
                        </w:r>
                      </w:hyperlink>
                      <w:r w:rsidRPr="00755FDE">
                        <w:rPr>
                          <w:rFonts w:eastAsia="Calibri"/>
                          <w:i/>
                          <w:iCs/>
                          <w:color w:val="000000"/>
                          <w:sz w:val="21"/>
                          <w:szCs w:val="21"/>
                          <w:lang w:bidi="ar-SA"/>
                        </w:rPr>
                        <w:t>, </w:t>
                      </w:r>
                      <w:hyperlink r:id="rId18" w:history="1">
                        <w:r w:rsidRPr="00755FDE">
                          <w:rPr>
                            <w:rFonts w:eastAsia="Calibri"/>
                            <w:i/>
                            <w:iCs/>
                            <w:color w:val="0000FF"/>
                            <w:sz w:val="21"/>
                            <w:szCs w:val="21"/>
                            <w:u w:val="single"/>
                            <w:lang w:bidi="ar-SA"/>
                          </w:rPr>
                          <w:t>124D.55</w:t>
                        </w:r>
                      </w:hyperlink>
                      <w:r w:rsidRPr="00755FDE">
                        <w:rPr>
                          <w:rFonts w:eastAsia="Calibri"/>
                          <w:i/>
                          <w:iCs/>
                          <w:color w:val="000000"/>
                          <w:sz w:val="21"/>
                          <w:szCs w:val="21"/>
                          <w:lang w:bidi="ar-SA"/>
                        </w:rPr>
                        <w:t>, and </w:t>
                      </w:r>
                      <w:hyperlink r:id="rId19" w:history="1">
                        <w:r w:rsidRPr="00755FDE">
                          <w:rPr>
                            <w:rFonts w:eastAsia="Calibri"/>
                            <w:i/>
                            <w:iCs/>
                            <w:color w:val="0000FF"/>
                            <w:sz w:val="21"/>
                            <w:szCs w:val="21"/>
                            <w:u w:val="single"/>
                            <w:lang w:bidi="ar-SA"/>
                          </w:rPr>
                          <w:t>124D.56</w:t>
                        </w:r>
                      </w:hyperlink>
                      <w:r w:rsidRPr="00755FDE">
                        <w:rPr>
                          <w:rFonts w:eastAsia="Calibri"/>
                          <w:i/>
                          <w:iCs/>
                          <w:color w:val="000000"/>
                          <w:sz w:val="21"/>
                          <w:szCs w:val="21"/>
                          <w:lang w:bidi="ar-SA"/>
                        </w:rPr>
                        <w:t xml:space="preserve">, </w:t>
                      </w:r>
                      <w:r w:rsidRPr="00755FDE">
                        <w:rPr>
                          <w:rFonts w:eastAsia="Calibri"/>
                          <w:i/>
                          <w:iCs/>
                          <w:color w:val="000000"/>
                          <w:lang w:bidi="ar-SA"/>
                        </w:rPr>
                        <w:t>exceeds the amount required, the commissioner may transfer the excess to any education aid or grant appropriation that is insufficient. However, section </w:t>
                      </w:r>
                      <w:hyperlink r:id="rId20" w:history="1">
                        <w:r w:rsidRPr="00755FDE">
                          <w:rPr>
                            <w:rFonts w:eastAsia="Calibri"/>
                            <w:i/>
                            <w:iCs/>
                            <w:color w:val="0000FF"/>
                            <w:sz w:val="21"/>
                            <w:szCs w:val="21"/>
                            <w:u w:val="single"/>
                            <w:lang w:bidi="ar-SA"/>
                          </w:rPr>
                          <w:t>126C.20</w:t>
                        </w:r>
                      </w:hyperlink>
                      <w:r w:rsidRPr="00755FDE">
                        <w:rPr>
                          <w:rFonts w:eastAsia="Calibri"/>
                          <w:i/>
                          <w:iCs/>
                          <w:color w:val="000000"/>
                          <w:sz w:val="21"/>
                          <w:szCs w:val="21"/>
                          <w:lang w:bidi="ar-SA"/>
                        </w:rPr>
                        <w:t xml:space="preserve"> applies to a deficiency in the direct </w:t>
                      </w:r>
                      <w:r w:rsidRPr="00755FDE">
                        <w:rPr>
                          <w:rFonts w:eastAsia="Calibri"/>
                          <w:i/>
                          <w:iCs/>
                          <w:color w:val="000000"/>
                          <w:sz w:val="21"/>
                          <w:szCs w:val="21"/>
                          <w:lang w:bidi="ar-SA"/>
                        </w:rPr>
                        <w:lastRenderedPageBreak/>
                        <w:t>appropriation for general education aid. Excess appropriations must be allocated proportionately among aids or grants that have insufficient appropriations. The commissioner of management and budget shall make the necessary transfers among appropriations according to the determinations of the commissioner. If the amount of the direct appropriation for the aid or grant plus the amount transferred according to this subdivision is insufficient, the commissioner shall prorate the available amount among eligible districts. The state is not obligated for any additional amounts.</w:t>
                      </w:r>
                    </w:p>
                    <w:p w:rsidR="00755FDE" w:rsidRPr="00755FDE" w:rsidRDefault="00755FDE" w:rsidP="00755FDE">
                      <w:pPr>
                        <w:spacing w:before="100" w:beforeAutospacing="1" w:after="100" w:afterAutospacing="1" w:line="264" w:lineRule="auto"/>
                        <w:ind w:left="720"/>
                        <w:rPr>
                          <w:rFonts w:ascii="Times New Roman" w:eastAsia="Calibri" w:hAnsi="Times New Roman"/>
                          <w:color w:val="000000"/>
                          <w:sz w:val="21"/>
                          <w:szCs w:val="21"/>
                          <w:lang w:bidi="ar-SA"/>
                        </w:rPr>
                      </w:pPr>
                      <w:r w:rsidRPr="00755FDE">
                        <w:rPr>
                          <w:rFonts w:eastAsia="Calibri"/>
                          <w:i/>
                          <w:iCs/>
                          <w:color w:val="000000"/>
                          <w:sz w:val="21"/>
                          <w:szCs w:val="21"/>
                          <w:lang w:bidi="ar-SA"/>
                        </w:rPr>
                        <w:t>(b) Transfers for aids paid under section </w:t>
                      </w:r>
                      <w:hyperlink r:id="rId21" w:history="1">
                        <w:r w:rsidRPr="00755FDE">
                          <w:rPr>
                            <w:rFonts w:eastAsia="Calibri"/>
                            <w:i/>
                            <w:iCs/>
                            <w:color w:val="0000FF"/>
                            <w:sz w:val="21"/>
                            <w:szCs w:val="21"/>
                            <w:u w:val="single"/>
                            <w:lang w:bidi="ar-SA"/>
                          </w:rPr>
                          <w:t>127A.45, subdivisions 12</w:t>
                        </w:r>
                      </w:hyperlink>
                      <w:r w:rsidRPr="00755FDE">
                        <w:rPr>
                          <w:rFonts w:eastAsia="Calibri"/>
                          <w:i/>
                          <w:iCs/>
                          <w:color w:val="000000"/>
                          <w:sz w:val="21"/>
                          <w:szCs w:val="21"/>
                          <w:lang w:bidi="ar-SA"/>
                        </w:rPr>
                        <w:t> and 13, shall be made during the fiscal year after the fiscal year of the entitlement. Transfers for aids paid under section </w:t>
                      </w:r>
                      <w:hyperlink r:id="rId22" w:history="1">
                        <w:r w:rsidRPr="00755FDE">
                          <w:rPr>
                            <w:rFonts w:eastAsia="Calibri"/>
                            <w:i/>
                            <w:iCs/>
                            <w:color w:val="0000FF"/>
                            <w:sz w:val="21"/>
                            <w:szCs w:val="21"/>
                            <w:u w:val="single"/>
                            <w:lang w:bidi="ar-SA"/>
                          </w:rPr>
                          <w:t>127A.45, subdivisions 11</w:t>
                        </w:r>
                      </w:hyperlink>
                      <w:r w:rsidRPr="00755FDE">
                        <w:rPr>
                          <w:rFonts w:eastAsia="Calibri"/>
                          <w:i/>
                          <w:iCs/>
                          <w:color w:val="000000"/>
                          <w:sz w:val="21"/>
                          <w:szCs w:val="21"/>
                          <w:lang w:bidi="ar-SA"/>
                        </w:rPr>
                        <w:t> and 12a, shall be made during the fiscal year of the appropriation. </w:t>
                      </w:r>
                    </w:p>
                    <w:p w:rsidR="00755FDE" w:rsidRPr="00755FDE" w:rsidRDefault="00755FDE" w:rsidP="00755FDE">
                      <w:pPr>
                        <w:spacing w:before="100" w:beforeAutospacing="1" w:after="100" w:afterAutospacing="1" w:line="264" w:lineRule="auto"/>
                        <w:ind w:left="720"/>
                        <w:rPr>
                          <w:rFonts w:ascii="Times New Roman" w:eastAsia="Calibri" w:hAnsi="Times New Roman"/>
                          <w:color w:val="000000"/>
                          <w:sz w:val="21"/>
                          <w:szCs w:val="21"/>
                          <w:lang w:bidi="ar-SA"/>
                        </w:rPr>
                      </w:pPr>
                      <w:r w:rsidRPr="00755FDE">
                        <w:rPr>
                          <w:rFonts w:eastAsia="Calibri"/>
                          <w:i/>
                          <w:iCs/>
                          <w:color w:val="000000"/>
                          <w:sz w:val="21"/>
                          <w:szCs w:val="21"/>
                          <w:lang w:bidi="ar-SA"/>
                        </w:rPr>
                        <w:t>Subd. 9. Appropriation transfers for community education programs.</w:t>
                      </w:r>
                    </w:p>
                    <w:p w:rsidR="00755FDE" w:rsidRPr="00755FDE" w:rsidRDefault="00755FDE" w:rsidP="00755FDE">
                      <w:pPr>
                        <w:spacing w:before="100" w:beforeAutospacing="1" w:after="100" w:afterAutospacing="1" w:line="264" w:lineRule="auto"/>
                        <w:ind w:left="720"/>
                        <w:rPr>
                          <w:rFonts w:ascii="Times New Roman" w:eastAsia="Calibri" w:hAnsi="Times New Roman"/>
                          <w:color w:val="000000"/>
                          <w:sz w:val="21"/>
                          <w:szCs w:val="21"/>
                          <w:lang w:bidi="ar-SA"/>
                        </w:rPr>
                      </w:pPr>
                      <w:r w:rsidRPr="00755FDE">
                        <w:rPr>
                          <w:rFonts w:eastAsia="Calibri"/>
                          <w:i/>
                          <w:iCs/>
                          <w:color w:val="000000"/>
                          <w:sz w:val="21"/>
                          <w:szCs w:val="21"/>
                          <w:lang w:bidi="ar-SA"/>
                        </w:rPr>
                        <w:t>If a direct appropriation from the general fund to the Department of Education for an education aid or grant authorized under section </w:t>
                      </w:r>
                      <w:hyperlink r:id="rId23" w:history="1">
                        <w:r w:rsidRPr="00755FDE">
                          <w:rPr>
                            <w:rFonts w:eastAsia="Calibri"/>
                            <w:i/>
                            <w:iCs/>
                            <w:color w:val="0000FF"/>
                            <w:sz w:val="21"/>
                            <w:szCs w:val="21"/>
                            <w:u w:val="single"/>
                            <w:lang w:bidi="ar-SA"/>
                          </w:rPr>
                          <w:t>124D.135</w:t>
                        </w:r>
                      </w:hyperlink>
                      <w:r w:rsidRPr="00755FDE">
                        <w:rPr>
                          <w:rFonts w:eastAsia="Calibri"/>
                          <w:i/>
                          <w:iCs/>
                          <w:color w:val="000000"/>
                          <w:sz w:val="21"/>
                          <w:szCs w:val="21"/>
                          <w:lang w:bidi="ar-SA"/>
                        </w:rPr>
                        <w:t>, </w:t>
                      </w:r>
                      <w:hyperlink r:id="rId24" w:history="1">
                        <w:r w:rsidRPr="00755FDE">
                          <w:rPr>
                            <w:rFonts w:eastAsia="Calibri"/>
                            <w:i/>
                            <w:iCs/>
                            <w:color w:val="0000FF"/>
                            <w:sz w:val="21"/>
                            <w:szCs w:val="21"/>
                            <w:u w:val="single"/>
                            <w:lang w:bidi="ar-SA"/>
                          </w:rPr>
                          <w:t>124D.16</w:t>
                        </w:r>
                      </w:hyperlink>
                      <w:r w:rsidRPr="00755FDE">
                        <w:rPr>
                          <w:rFonts w:eastAsia="Calibri"/>
                          <w:i/>
                          <w:iCs/>
                          <w:color w:val="000000"/>
                          <w:sz w:val="21"/>
                          <w:szCs w:val="21"/>
                          <w:lang w:bidi="ar-SA"/>
                        </w:rPr>
                        <w:t>, </w:t>
                      </w:r>
                      <w:hyperlink r:id="rId25" w:history="1">
                        <w:r w:rsidRPr="00755FDE">
                          <w:rPr>
                            <w:rFonts w:eastAsia="Calibri"/>
                            <w:i/>
                            <w:iCs/>
                            <w:color w:val="0000FF"/>
                            <w:sz w:val="21"/>
                            <w:szCs w:val="21"/>
                            <w:u w:val="single"/>
                            <w:lang w:bidi="ar-SA"/>
                          </w:rPr>
                          <w:t>124D.20</w:t>
                        </w:r>
                      </w:hyperlink>
                      <w:r w:rsidRPr="00755FDE">
                        <w:rPr>
                          <w:rFonts w:eastAsia="Calibri"/>
                          <w:i/>
                          <w:iCs/>
                          <w:color w:val="000000"/>
                          <w:sz w:val="21"/>
                          <w:szCs w:val="21"/>
                          <w:lang w:bidi="ar-SA"/>
                        </w:rPr>
                        <w:t>, </w:t>
                      </w:r>
                      <w:hyperlink r:id="rId26" w:history="1">
                        <w:r w:rsidRPr="00755FDE">
                          <w:rPr>
                            <w:rFonts w:eastAsia="Calibri"/>
                            <w:i/>
                            <w:iCs/>
                            <w:color w:val="0000FF"/>
                            <w:sz w:val="21"/>
                            <w:szCs w:val="21"/>
                            <w:u w:val="single"/>
                            <w:lang w:bidi="ar-SA"/>
                          </w:rPr>
                          <w:t>124D.22</w:t>
                        </w:r>
                      </w:hyperlink>
                      <w:r w:rsidRPr="00755FDE">
                        <w:rPr>
                          <w:rFonts w:eastAsia="Calibri"/>
                          <w:i/>
                          <w:iCs/>
                          <w:color w:val="000000"/>
                          <w:sz w:val="21"/>
                          <w:szCs w:val="21"/>
                          <w:lang w:bidi="ar-SA"/>
                        </w:rPr>
                        <w:t>, </w:t>
                      </w:r>
                      <w:hyperlink r:id="rId27" w:history="1">
                        <w:r w:rsidRPr="00755FDE">
                          <w:rPr>
                            <w:rFonts w:eastAsia="Calibri"/>
                            <w:i/>
                            <w:iCs/>
                            <w:color w:val="0000FF"/>
                            <w:sz w:val="21"/>
                            <w:szCs w:val="21"/>
                            <w:u w:val="single"/>
                            <w:lang w:bidi="ar-SA"/>
                          </w:rPr>
                          <w:t>124D.52</w:t>
                        </w:r>
                      </w:hyperlink>
                      <w:r w:rsidRPr="00755FDE">
                        <w:rPr>
                          <w:rFonts w:eastAsia="Calibri"/>
                          <w:i/>
                          <w:iCs/>
                          <w:color w:val="000000"/>
                          <w:sz w:val="21"/>
                          <w:szCs w:val="21"/>
                          <w:lang w:bidi="ar-SA"/>
                        </w:rPr>
                        <w:t>, </w:t>
                      </w:r>
                      <w:hyperlink r:id="rId28" w:history="1">
                        <w:r w:rsidRPr="00755FDE">
                          <w:rPr>
                            <w:rFonts w:eastAsia="Calibri"/>
                            <w:i/>
                            <w:iCs/>
                            <w:color w:val="0000FF"/>
                            <w:sz w:val="21"/>
                            <w:szCs w:val="21"/>
                            <w:u w:val="single"/>
                            <w:lang w:bidi="ar-SA"/>
                          </w:rPr>
                          <w:t>124D.531</w:t>
                        </w:r>
                      </w:hyperlink>
                      <w:r w:rsidRPr="00755FDE">
                        <w:rPr>
                          <w:rFonts w:eastAsia="Calibri"/>
                          <w:i/>
                          <w:iCs/>
                          <w:color w:val="000000"/>
                          <w:sz w:val="21"/>
                          <w:szCs w:val="21"/>
                          <w:lang w:bidi="ar-SA"/>
                        </w:rPr>
                        <w:t>, </w:t>
                      </w:r>
                      <w:hyperlink r:id="rId29" w:history="1">
                        <w:r w:rsidRPr="00755FDE">
                          <w:rPr>
                            <w:rFonts w:eastAsia="Calibri"/>
                            <w:i/>
                            <w:iCs/>
                            <w:color w:val="0000FF"/>
                            <w:sz w:val="21"/>
                            <w:szCs w:val="21"/>
                            <w:u w:val="single"/>
                            <w:lang w:bidi="ar-SA"/>
                          </w:rPr>
                          <w:t>124D.55</w:t>
                        </w:r>
                      </w:hyperlink>
                      <w:r w:rsidRPr="00755FDE">
                        <w:rPr>
                          <w:rFonts w:eastAsia="Calibri"/>
                          <w:i/>
                          <w:iCs/>
                          <w:color w:val="000000"/>
                          <w:sz w:val="21"/>
                          <w:szCs w:val="21"/>
                          <w:lang w:bidi="ar-SA"/>
                        </w:rPr>
                        <w:t>, or </w:t>
                      </w:r>
                      <w:hyperlink r:id="rId30" w:history="1">
                        <w:r w:rsidRPr="00755FDE">
                          <w:rPr>
                            <w:rFonts w:eastAsia="Calibri"/>
                            <w:i/>
                            <w:iCs/>
                            <w:color w:val="0000FF"/>
                            <w:sz w:val="21"/>
                            <w:szCs w:val="21"/>
                            <w:u w:val="single"/>
                            <w:lang w:bidi="ar-SA"/>
                          </w:rPr>
                          <w:t>124D.56</w:t>
                        </w:r>
                      </w:hyperlink>
                      <w:r w:rsidRPr="00755FDE">
                        <w:rPr>
                          <w:rFonts w:eastAsia="Calibri"/>
                          <w:i/>
                          <w:iCs/>
                          <w:color w:val="000000"/>
                          <w:sz w:val="21"/>
                          <w:szCs w:val="21"/>
                          <w:lang w:bidi="ar-SA"/>
                        </w:rPr>
                        <w:t> exceeds the amount required, the commissioner of education may transfer the excess to any education aid or grant appropriation that is insufficiently funded under these sections. Excess appropriations shall be allocated proportionately among aids or grants that have insufficient appropriations. The commissioner of management and budget shall make the necessary transfers among appropriations according to the determinations of the commissioner of education. If the amount of the direct appropriation for the aid or grant plus the amount transferred according to this subdivision is insufficient, the commissioner shall prorate the available amount among eligible districts. The state is not obligated for any additional amounts.</w:t>
                      </w:r>
                    </w:p>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color w:val="000000"/>
                          <w:sz w:val="21"/>
                          <w:szCs w:val="21"/>
                          <w:lang w:bidi="ar-SA"/>
                        </w:rPr>
                        <w:t>For FY 2017 final payments, there will be no proration of forecasted aids because the total amount available in accounts with a surplus exceeds the total amount needed to cover the total deficit in accounts where the appropriations are insufficient to fully fund the aid entitlements. For FY 2018, the total estimated amount available in accounts with a projected surplus is less than the total estimated amount needed to cover the projected shortfalls, so we estimate that some proration will be necessary if no action is taken during the 2019 legislative session to cover the shortfalls.</w:t>
                      </w:r>
                    </w:p>
                    <w:p w:rsidR="00755FDE" w:rsidRDefault="00755FDE" w:rsidP="00755FDE">
                      <w:pPr>
                        <w:spacing w:before="100" w:beforeAutospacing="1" w:after="100" w:afterAutospacing="1" w:line="264" w:lineRule="auto"/>
                        <w:rPr>
                          <w:rFonts w:eastAsia="Calibri"/>
                          <w:color w:val="000000"/>
                          <w:sz w:val="21"/>
                          <w:szCs w:val="21"/>
                          <w:lang w:bidi="ar-SA"/>
                        </w:rPr>
                      </w:pPr>
                      <w:r w:rsidRPr="00755FDE">
                        <w:rPr>
                          <w:rFonts w:eastAsia="Calibri"/>
                          <w:color w:val="000000"/>
                          <w:sz w:val="21"/>
                          <w:szCs w:val="21"/>
                          <w:lang w:bidi="ar-SA"/>
                        </w:rPr>
                        <w:t>The table below provides details by program, based on the February 2018 forecast. The total projected shortfall for FY 2018 aid entitlements qualifying under subdivision 8 above is $29.964 million, of which $27.271 million is for special education aid. Projected surpluses in other aids qualifying under subdivision 8 are expected to cover $4.916 million of this shortfall, leaving a net shortfall of $25.048 million. There is no projected shortfall for FY 2018 aid entitlements qualifying under subdivision 9 above, with projected surpluses in aids qualifying under subdivision 9 at $2.197 million. The projected proration factors for each aid are shown in the column at right. For special education aid, the adjusted proration factor is estimate at 98.3 percent. </w:t>
                      </w:r>
                    </w:p>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p>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283"/>
                        <w:gridCol w:w="1214"/>
                        <w:gridCol w:w="1214"/>
                        <w:gridCol w:w="896"/>
                        <w:gridCol w:w="986"/>
                        <w:gridCol w:w="980"/>
                        <w:gridCol w:w="964"/>
                        <w:gridCol w:w="935"/>
                        <w:gridCol w:w="992"/>
                      </w:tblGrid>
                      <w:tr w:rsidR="00755FDE" w:rsidRPr="00755FD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003865"/>
                            <w:hideMark/>
                          </w:tcPr>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b/>
                                <w:bCs/>
                                <w:color w:val="FFFFFF"/>
                                <w:sz w:val="24"/>
                                <w:szCs w:val="24"/>
                                <w:lang w:bidi="ar-SA"/>
                              </w:rPr>
                              <w:lastRenderedPageBreak/>
                              <w:t>Aid Program</w:t>
                            </w:r>
                          </w:p>
                        </w:tc>
                        <w:tc>
                          <w:tcPr>
                            <w:tcW w:w="0" w:type="auto"/>
                            <w:tcBorders>
                              <w:top w:val="outset" w:sz="6" w:space="0" w:color="auto"/>
                              <w:left w:val="outset" w:sz="6" w:space="0" w:color="auto"/>
                              <w:bottom w:val="outset" w:sz="6" w:space="0" w:color="auto"/>
                              <w:right w:val="outset" w:sz="6" w:space="0" w:color="auto"/>
                            </w:tcBorders>
                            <w:shd w:val="clear" w:color="auto" w:fill="003865"/>
                            <w:hideMark/>
                          </w:tcPr>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b/>
                                <w:bCs/>
                                <w:color w:val="FFFFFF"/>
                                <w:sz w:val="24"/>
                                <w:szCs w:val="24"/>
                                <w:lang w:bidi="ar-SA"/>
                              </w:rPr>
                              <w:t>Feb. 2018 Forecast Entitlement (2018)</w:t>
                            </w:r>
                          </w:p>
                        </w:tc>
                        <w:tc>
                          <w:tcPr>
                            <w:tcW w:w="0" w:type="auto"/>
                            <w:tcBorders>
                              <w:top w:val="outset" w:sz="6" w:space="0" w:color="auto"/>
                              <w:left w:val="outset" w:sz="6" w:space="0" w:color="auto"/>
                              <w:bottom w:val="outset" w:sz="6" w:space="0" w:color="auto"/>
                              <w:right w:val="outset" w:sz="6" w:space="0" w:color="auto"/>
                            </w:tcBorders>
                            <w:shd w:val="clear" w:color="auto" w:fill="003865"/>
                            <w:hideMark/>
                          </w:tcPr>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b/>
                                <w:bCs/>
                                <w:color w:val="FFFFFF"/>
                                <w:sz w:val="24"/>
                                <w:szCs w:val="24"/>
                                <w:lang w:bidi="ar-SA"/>
                              </w:rPr>
                              <w:t>End of 2017 Session Entitlement</w:t>
                            </w:r>
                          </w:p>
                        </w:tc>
                        <w:tc>
                          <w:tcPr>
                            <w:tcW w:w="0" w:type="auto"/>
                            <w:tcBorders>
                              <w:top w:val="outset" w:sz="6" w:space="0" w:color="auto"/>
                              <w:left w:val="outset" w:sz="6" w:space="0" w:color="auto"/>
                              <w:bottom w:val="outset" w:sz="6" w:space="0" w:color="auto"/>
                              <w:right w:val="outset" w:sz="6" w:space="0" w:color="auto"/>
                            </w:tcBorders>
                            <w:shd w:val="clear" w:color="auto" w:fill="003865"/>
                            <w:hideMark/>
                          </w:tcPr>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b/>
                                <w:bCs/>
                                <w:color w:val="FFFFFF"/>
                                <w:sz w:val="24"/>
                                <w:szCs w:val="24"/>
                                <w:lang w:bidi="ar-SA"/>
                              </w:rPr>
                              <w:t>Initial Shortfall</w:t>
                            </w:r>
                          </w:p>
                        </w:tc>
                        <w:tc>
                          <w:tcPr>
                            <w:tcW w:w="0" w:type="auto"/>
                            <w:tcBorders>
                              <w:top w:val="outset" w:sz="6" w:space="0" w:color="auto"/>
                              <w:left w:val="outset" w:sz="6" w:space="0" w:color="auto"/>
                              <w:bottom w:val="outset" w:sz="6" w:space="0" w:color="auto"/>
                              <w:right w:val="outset" w:sz="6" w:space="0" w:color="auto"/>
                            </w:tcBorders>
                            <w:shd w:val="clear" w:color="auto" w:fill="003865"/>
                            <w:hideMark/>
                          </w:tcPr>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b/>
                                <w:bCs/>
                                <w:color w:val="FFFFFF"/>
                                <w:sz w:val="24"/>
                                <w:szCs w:val="24"/>
                                <w:lang w:bidi="ar-SA"/>
                              </w:rPr>
                              <w:t>Initial Proration</w:t>
                            </w:r>
                          </w:p>
                        </w:tc>
                        <w:tc>
                          <w:tcPr>
                            <w:tcW w:w="0" w:type="auto"/>
                            <w:tcBorders>
                              <w:top w:val="outset" w:sz="6" w:space="0" w:color="auto"/>
                              <w:left w:val="outset" w:sz="6" w:space="0" w:color="auto"/>
                              <w:bottom w:val="outset" w:sz="6" w:space="0" w:color="auto"/>
                              <w:right w:val="outset" w:sz="6" w:space="0" w:color="auto"/>
                            </w:tcBorders>
                            <w:shd w:val="clear" w:color="auto" w:fill="003865"/>
                            <w:hideMark/>
                          </w:tcPr>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b/>
                                <w:bCs/>
                                <w:color w:val="FFFFFF"/>
                                <w:sz w:val="24"/>
                                <w:szCs w:val="24"/>
                                <w:lang w:bidi="ar-SA"/>
                              </w:rPr>
                              <w:t xml:space="preserve">Est. </w:t>
                            </w:r>
                            <w:proofErr w:type="spellStart"/>
                            <w:r w:rsidRPr="00755FDE">
                              <w:rPr>
                                <w:rFonts w:eastAsia="Calibri"/>
                                <w:b/>
                                <w:bCs/>
                                <w:color w:val="FFFFFF"/>
                                <w:sz w:val="24"/>
                                <w:szCs w:val="24"/>
                                <w:lang w:bidi="ar-SA"/>
                              </w:rPr>
                              <w:t>Realloc</w:t>
                            </w:r>
                            <w:proofErr w:type="spellEnd"/>
                            <w:r w:rsidRPr="00755FDE">
                              <w:rPr>
                                <w:rFonts w:eastAsia="Calibri"/>
                                <w:b/>
                                <w:bCs/>
                                <w:color w:val="FFFFFF"/>
                                <w:sz w:val="24"/>
                                <w:szCs w:val="24"/>
                                <w:lang w:bidi="ar-SA"/>
                              </w:rPr>
                              <w:t>. of surpluses</w:t>
                            </w:r>
                          </w:p>
                        </w:tc>
                        <w:tc>
                          <w:tcPr>
                            <w:tcW w:w="0" w:type="auto"/>
                            <w:tcBorders>
                              <w:top w:val="outset" w:sz="6" w:space="0" w:color="auto"/>
                              <w:left w:val="outset" w:sz="6" w:space="0" w:color="auto"/>
                              <w:bottom w:val="outset" w:sz="6" w:space="0" w:color="auto"/>
                              <w:right w:val="outset" w:sz="6" w:space="0" w:color="auto"/>
                            </w:tcBorders>
                            <w:shd w:val="clear" w:color="auto" w:fill="003865"/>
                            <w:hideMark/>
                          </w:tcPr>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b/>
                                <w:bCs/>
                                <w:color w:val="FFFFFF"/>
                                <w:sz w:val="24"/>
                                <w:szCs w:val="24"/>
                                <w:lang w:bidi="ar-SA"/>
                              </w:rPr>
                              <w:t>Net $ Available</w:t>
                            </w:r>
                          </w:p>
                        </w:tc>
                        <w:tc>
                          <w:tcPr>
                            <w:tcW w:w="0" w:type="auto"/>
                            <w:tcBorders>
                              <w:top w:val="outset" w:sz="6" w:space="0" w:color="auto"/>
                              <w:left w:val="outset" w:sz="6" w:space="0" w:color="auto"/>
                              <w:bottom w:val="outset" w:sz="6" w:space="0" w:color="auto"/>
                              <w:right w:val="outset" w:sz="6" w:space="0" w:color="auto"/>
                            </w:tcBorders>
                            <w:shd w:val="clear" w:color="auto" w:fill="003865"/>
                            <w:hideMark/>
                          </w:tcPr>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b/>
                                <w:bCs/>
                                <w:color w:val="FFFFFF"/>
                                <w:sz w:val="24"/>
                                <w:szCs w:val="24"/>
                                <w:lang w:bidi="ar-SA"/>
                              </w:rPr>
                              <w:t>Adjusted Shortfall</w:t>
                            </w:r>
                          </w:p>
                        </w:tc>
                        <w:tc>
                          <w:tcPr>
                            <w:tcW w:w="0" w:type="auto"/>
                            <w:tcBorders>
                              <w:top w:val="outset" w:sz="6" w:space="0" w:color="auto"/>
                              <w:left w:val="outset" w:sz="6" w:space="0" w:color="auto"/>
                              <w:bottom w:val="outset" w:sz="6" w:space="0" w:color="auto"/>
                              <w:right w:val="outset" w:sz="6" w:space="0" w:color="auto"/>
                            </w:tcBorders>
                            <w:shd w:val="clear" w:color="auto" w:fill="003865"/>
                            <w:hideMark/>
                          </w:tcPr>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b/>
                                <w:bCs/>
                                <w:color w:val="FFFFFF"/>
                                <w:sz w:val="24"/>
                                <w:szCs w:val="24"/>
                                <w:lang w:bidi="ar-SA"/>
                              </w:rPr>
                              <w:t>Adjusted Proration</w:t>
                            </w:r>
                          </w:p>
                        </w:tc>
                      </w:tr>
                      <w:tr w:rsidR="00755FDE" w:rsidRPr="00755FDE">
                        <w:trPr>
                          <w:tblCellSpacing w:w="6" w:type="dxa"/>
                        </w:trPr>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b/>
                                <w:bCs/>
                                <w:sz w:val="20"/>
                                <w:szCs w:val="20"/>
                                <w:lang w:bidi="ar-SA"/>
                              </w:rPr>
                              <w:t>Special Education</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1,379,991</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1,352,720</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(27,271)</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98.0%</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4,474</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1,357,194</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(22,797)</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98.3%</w:t>
                            </w:r>
                          </w:p>
                        </w:tc>
                      </w:tr>
                      <w:tr w:rsidR="00755FDE" w:rsidRPr="00755FDE">
                        <w:trPr>
                          <w:tblCellSpacing w:w="6" w:type="dxa"/>
                        </w:trPr>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b/>
                                <w:bCs/>
                                <w:sz w:val="20"/>
                                <w:szCs w:val="20"/>
                                <w:lang w:bidi="ar-SA"/>
                              </w:rPr>
                              <w:t>Interdistrict Deseg Transportation</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14,328</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13,337</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(991)</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93.1%</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163</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13,500</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(828)</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94.2%</w:t>
                            </w:r>
                          </w:p>
                        </w:tc>
                      </w:tr>
                      <w:tr w:rsidR="00755FDE" w:rsidRPr="00755FDE">
                        <w:trPr>
                          <w:tblCellSpacing w:w="6" w:type="dxa"/>
                        </w:trPr>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b/>
                                <w:bCs/>
                                <w:sz w:val="20"/>
                                <w:szCs w:val="20"/>
                                <w:lang w:bidi="ar-SA"/>
                              </w:rPr>
                              <w:t>Long Term Facilities Maintenance</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83,597</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82,691</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(906)</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98.9%</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149</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82,840</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(757)</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99.1%</w:t>
                            </w:r>
                          </w:p>
                        </w:tc>
                      </w:tr>
                      <w:tr w:rsidR="00755FDE" w:rsidRPr="00755FDE">
                        <w:trPr>
                          <w:tblCellSpacing w:w="6" w:type="dxa"/>
                        </w:trPr>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b/>
                                <w:bCs/>
                                <w:sz w:val="20"/>
                                <w:szCs w:val="20"/>
                                <w:lang w:bidi="ar-SA"/>
                              </w:rPr>
                              <w:t>Achievement and Integration</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72,186</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71,842</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(344)</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99.5%</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56</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71,898</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(288)</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99.6%</w:t>
                            </w:r>
                          </w:p>
                        </w:tc>
                      </w:tr>
                      <w:tr w:rsidR="00755FDE" w:rsidRPr="00755FDE">
                        <w:trPr>
                          <w:tblCellSpacing w:w="6" w:type="dxa"/>
                        </w:trPr>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b/>
                                <w:bCs/>
                                <w:color w:val="000000"/>
                                <w:sz w:val="20"/>
                                <w:szCs w:val="20"/>
                                <w:lang w:bidi="ar-SA"/>
                              </w:rPr>
                              <w:t>Abatement</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2,580</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2,346</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(234)</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90.9%</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38</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2,384</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(196)</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92.4%</w:t>
                            </w:r>
                          </w:p>
                        </w:tc>
                      </w:tr>
                      <w:tr w:rsidR="00755FDE" w:rsidRPr="00755FDE">
                        <w:trPr>
                          <w:tblCellSpacing w:w="6" w:type="dxa"/>
                        </w:trPr>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b/>
                                <w:bCs/>
                                <w:sz w:val="20"/>
                                <w:szCs w:val="20"/>
                                <w:lang w:bidi="ar-SA"/>
                              </w:rPr>
                              <w:t>Career and Technical Ed.</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4,756</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4,538</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(218)</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95.4%</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36</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4,574</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 (182)</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sz w:val="20"/>
                                <w:szCs w:val="20"/>
                                <w:lang w:bidi="ar-SA"/>
                              </w:rPr>
                              <w:t>96.2%</w:t>
                            </w:r>
                          </w:p>
                        </w:tc>
                      </w:tr>
                      <w:tr w:rsidR="00755FDE" w:rsidRPr="00755FDE">
                        <w:trPr>
                          <w:tblCellSpacing w:w="6" w:type="dxa"/>
                        </w:trPr>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b/>
                                <w:bCs/>
                                <w:sz w:val="20"/>
                                <w:szCs w:val="20"/>
                                <w:lang w:bidi="ar-SA"/>
                              </w:rPr>
                              <w:t>Total, qualifying programs with shortfall</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b/>
                                <w:bCs/>
                                <w:sz w:val="20"/>
                                <w:szCs w:val="20"/>
                                <w:lang w:bidi="ar-SA"/>
                              </w:rPr>
                              <w:t>1,557,438</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b/>
                                <w:bCs/>
                                <w:sz w:val="20"/>
                                <w:szCs w:val="20"/>
                                <w:lang w:bidi="ar-SA"/>
                              </w:rPr>
                              <w:t> 1,527,474</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b/>
                                <w:bCs/>
                                <w:sz w:val="20"/>
                                <w:szCs w:val="20"/>
                                <w:lang w:bidi="ar-SA"/>
                              </w:rPr>
                              <w:t>(29,964)</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color w:val="FFFFFF"/>
                                <w:sz w:val="20"/>
                                <w:szCs w:val="20"/>
                                <w:lang w:bidi="ar-SA"/>
                              </w:rPr>
                              <w:t>empty</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b/>
                                <w:bCs/>
                                <w:sz w:val="20"/>
                                <w:szCs w:val="20"/>
                                <w:lang w:bidi="ar-SA"/>
                              </w:rPr>
                              <w:t> 4,916</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b/>
                                <w:bCs/>
                                <w:sz w:val="20"/>
                                <w:szCs w:val="20"/>
                                <w:lang w:bidi="ar-SA"/>
                              </w:rPr>
                              <w:t> 1,532,390</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b/>
                                <w:bCs/>
                                <w:sz w:val="20"/>
                                <w:szCs w:val="20"/>
                                <w:lang w:bidi="ar-SA"/>
                              </w:rPr>
                              <w:t> (25,048)</w:t>
                            </w:r>
                          </w:p>
                        </w:tc>
                        <w:tc>
                          <w:tcPr>
                            <w:tcW w:w="0" w:type="auto"/>
                            <w:tcBorders>
                              <w:top w:val="outset" w:sz="6" w:space="0" w:color="auto"/>
                              <w:left w:val="outset" w:sz="6" w:space="0" w:color="auto"/>
                              <w:bottom w:val="outset" w:sz="6" w:space="0" w:color="auto"/>
                              <w:right w:val="outset" w:sz="6" w:space="0" w:color="auto"/>
                            </w:tcBorders>
                            <w:hideMark/>
                          </w:tcPr>
                          <w:p w:rsidR="00755FDE" w:rsidRPr="00755FDE" w:rsidRDefault="00755FDE" w:rsidP="00755FDE">
                            <w:pPr>
                              <w:spacing w:before="0" w:after="0" w:line="240" w:lineRule="auto"/>
                              <w:rPr>
                                <w:rFonts w:ascii="Times New Roman" w:hAnsi="Times New Roman"/>
                                <w:sz w:val="24"/>
                                <w:szCs w:val="24"/>
                                <w:lang w:bidi="ar-SA"/>
                              </w:rPr>
                            </w:pPr>
                            <w:r w:rsidRPr="00755FDE">
                              <w:rPr>
                                <w:color w:val="FFFFFF"/>
                                <w:sz w:val="20"/>
                                <w:szCs w:val="20"/>
                                <w:lang w:bidi="ar-SA"/>
                              </w:rPr>
                              <w:t>empty</w:t>
                            </w:r>
                          </w:p>
                        </w:tc>
                      </w:tr>
                    </w:tbl>
                    <w:p w:rsidR="00755FDE" w:rsidRPr="00755FDE" w:rsidRDefault="00755FDE" w:rsidP="00755FDE">
                      <w:pPr>
                        <w:spacing w:before="0" w:after="180" w:line="336" w:lineRule="auto"/>
                        <w:rPr>
                          <w:rFonts w:eastAsia="Calibri"/>
                          <w:color w:val="000000"/>
                          <w:sz w:val="18"/>
                          <w:szCs w:val="18"/>
                          <w:lang w:bidi="ar-SA"/>
                        </w:rPr>
                      </w:pPr>
                      <w:r w:rsidRPr="00755FDE">
                        <w:rPr>
                          <w:rFonts w:eastAsia="Calibri"/>
                          <w:color w:val="000000"/>
                          <w:sz w:val="18"/>
                          <w:szCs w:val="18"/>
                          <w:lang w:bidi="ar-SA"/>
                        </w:rPr>
                        <w:t> </w:t>
                      </w:r>
                    </w:p>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color w:val="000000"/>
                          <w:sz w:val="21"/>
                          <w:szCs w:val="21"/>
                          <w:lang w:bidi="ar-SA"/>
                        </w:rPr>
                        <w:t>Please note that the amounts shown in the table above are February 2018 forecast estimates. The final shortfall could be more or less, depending on final data for FY 2018, which will not be known until early 2019. Currently, special education aid for FY 2018 is not being prorated because the aid entitlements on the IDEAS payment system, which reflect district estimates submitted to date, are lower than MDE projections of what the final aid entitlements will be once final data is submitted in the fall.</w:t>
                      </w:r>
                    </w:p>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color w:val="000000"/>
                          <w:sz w:val="21"/>
                          <w:szCs w:val="21"/>
                          <w:lang w:bidi="ar-SA"/>
                        </w:rPr>
                        <w:t>The November forecast will reflect the estimated need in the FY 2019 clean-up appropriation to meet the full 2018 entitlement. This will allow the 2019 Legislature to pass a forecast bill that fully funds the 2018 entitlements. The shortfall for FY 2019 aids, as adjusted for the February 2019 forecast, is expected to be funded in the 2019 E-12 Education bill.</w:t>
                      </w:r>
                    </w:p>
                    <w:p w:rsidR="00755FDE" w:rsidRPr="00755FDE" w:rsidRDefault="00755FDE" w:rsidP="00755FDE">
                      <w:pPr>
                        <w:spacing w:before="100" w:beforeAutospacing="1" w:after="100" w:afterAutospacing="1" w:line="264" w:lineRule="auto"/>
                        <w:rPr>
                          <w:rFonts w:ascii="Times New Roman" w:eastAsia="Calibri" w:hAnsi="Times New Roman"/>
                          <w:color w:val="000000"/>
                          <w:sz w:val="21"/>
                          <w:szCs w:val="21"/>
                          <w:lang w:bidi="ar-SA"/>
                        </w:rPr>
                      </w:pPr>
                      <w:r w:rsidRPr="00755FDE">
                        <w:rPr>
                          <w:rFonts w:eastAsia="Calibri"/>
                          <w:color w:val="000000"/>
                          <w:sz w:val="21"/>
                          <w:szCs w:val="21"/>
                          <w:lang w:bidi="ar-SA"/>
                        </w:rPr>
                        <w:t xml:space="preserve">Please direct questions concerning these calculations to Dr. Tom Melcher, school finance director, at </w:t>
                      </w:r>
                      <w:hyperlink r:id="rId31" w:history="1">
                        <w:r w:rsidRPr="00755FDE">
                          <w:rPr>
                            <w:rFonts w:eastAsia="Calibri"/>
                            <w:color w:val="0000FF"/>
                            <w:sz w:val="21"/>
                            <w:szCs w:val="21"/>
                            <w:u w:val="single"/>
                            <w:lang w:bidi="ar-SA"/>
                          </w:rPr>
                          <w:t>tom.melcher@state.mn.us</w:t>
                        </w:r>
                      </w:hyperlink>
                      <w:r w:rsidRPr="00755FDE">
                        <w:rPr>
                          <w:rFonts w:eastAsia="Calibri"/>
                          <w:color w:val="000000"/>
                          <w:sz w:val="21"/>
                          <w:szCs w:val="21"/>
                          <w:lang w:bidi="ar-SA"/>
                        </w:rPr>
                        <w:t xml:space="preserve"> or (651) 582-8828.  </w:t>
                      </w:r>
                    </w:p>
                  </w:tc>
                </w:tr>
              </w:tbl>
              <w:p w:rsidR="00755FDE" w:rsidRPr="00755FDE" w:rsidRDefault="00755FDE" w:rsidP="00755FDE">
                <w:pPr>
                  <w:spacing w:before="0" w:after="0" w:line="240" w:lineRule="auto"/>
                  <w:jc w:val="center"/>
                  <w:rPr>
                    <w:rFonts w:ascii="Times New Roman" w:hAnsi="Times New Roman"/>
                    <w:sz w:val="20"/>
                    <w:szCs w:val="20"/>
                    <w:lang w:bidi="ar-SA"/>
                  </w:rPr>
                </w:pPr>
              </w:p>
            </w:tc>
          </w:tr>
        </w:tbl>
        <w:p w:rsidR="00547E68" w:rsidRPr="00073127" w:rsidRDefault="00882CC9" w:rsidP="00073127">
          <w:pPr>
            <w:rPr>
              <w:lang w:bidi="ar-SA"/>
            </w:rPr>
          </w:pPr>
        </w:p>
      </w:sdtContent>
    </w:sdt>
    <w:sectPr w:rsidR="00547E68" w:rsidRPr="00073127" w:rsidSect="00B437C8">
      <w:footerReference w:type="default" r:id="rId32"/>
      <w:footerReference w:type="first" r:id="rId3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CC9" w:rsidRDefault="00882CC9" w:rsidP="00D91FF4">
      <w:r>
        <w:separator/>
      </w:r>
    </w:p>
  </w:endnote>
  <w:endnote w:type="continuationSeparator" w:id="0">
    <w:p w:rsidR="00882CC9" w:rsidRDefault="00882CC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F7" w:rsidRDefault="007857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CC9" w:rsidRDefault="00882CC9" w:rsidP="00D91FF4">
      <w:r>
        <w:separator/>
      </w:r>
    </w:p>
  </w:footnote>
  <w:footnote w:type="continuationSeparator" w:id="0">
    <w:p w:rsidR="00882CC9" w:rsidRDefault="00882CC9" w:rsidP="00D91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7"/>
  </w:num>
  <w:num w:numId="4">
    <w:abstractNumId w:val="24"/>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28"/>
  </w:num>
  <w:num w:numId="13">
    <w:abstractNumId w:val="29"/>
  </w:num>
  <w:num w:numId="14">
    <w:abstractNumId w:val="21"/>
  </w:num>
  <w:num w:numId="15">
    <w:abstractNumId w:val="8"/>
  </w:num>
  <w:num w:numId="16">
    <w:abstractNumId w:val="29"/>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3"/>
  </w:num>
  <w:num w:numId="24">
    <w:abstractNumId w:val="25"/>
  </w:num>
  <w:num w:numId="25">
    <w:abstractNumId w:val="25"/>
  </w:num>
  <w:num w:numId="26">
    <w:abstractNumId w:val="26"/>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DE"/>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30A0B"/>
    <w:rsid w:val="00335736"/>
    <w:rsid w:val="003563D2"/>
    <w:rsid w:val="00376FA5"/>
    <w:rsid w:val="00377673"/>
    <w:rsid w:val="003A1479"/>
    <w:rsid w:val="003A1813"/>
    <w:rsid w:val="003B2B0A"/>
    <w:rsid w:val="003B7D82"/>
    <w:rsid w:val="003C03D3"/>
    <w:rsid w:val="003C4644"/>
    <w:rsid w:val="003C5BE3"/>
    <w:rsid w:val="003F5F5F"/>
    <w:rsid w:val="00413A7C"/>
    <w:rsid w:val="004141DD"/>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3214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52D74"/>
    <w:rsid w:val="00655345"/>
    <w:rsid w:val="0065683E"/>
    <w:rsid w:val="00670ABA"/>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4778B"/>
    <w:rsid w:val="00755FDE"/>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82CC9"/>
    <w:rsid w:val="008A76FD"/>
    <w:rsid w:val="008B5443"/>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B4BAF1-FA04-445D-9BAE-410950EA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BalloonText">
    <w:name w:val="Balloon Text"/>
    <w:basedOn w:val="Normal"/>
    <w:link w:val="BalloonTextChar"/>
    <w:semiHidden/>
    <w:unhideWhenUsed/>
    <w:rsid w:val="00755FD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55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6518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02&amp;&amp;&amp;https://www.revisor.mn.gov/statutes/?id=124D.16" TargetMode="External"/><Relationship Id="rId18"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07&amp;&amp;&amp;https://www.revisor.mn.gov/statutes/?id=124D.55" TargetMode="External"/><Relationship Id="rId26"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15&amp;&amp;&amp;https://www.revisor.mn.gov/statutes/?id=124D.22" TargetMode="External"/><Relationship Id="rId3" Type="http://schemas.openxmlformats.org/officeDocument/2006/relationships/customXml" Target="../customXml/item3.xml"/><Relationship Id="rId21"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10&amp;&amp;&amp;https://www.revisor.mn.gov/statutes/?id=127A.45"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01&amp;&amp;&amp;https://www.revisor.mn.gov/statutes/?id=124D.135" TargetMode="External"/><Relationship Id="rId17"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06&amp;&amp;&amp;https://www.revisor.mn.gov/statutes/?id=124D.531" TargetMode="External"/><Relationship Id="rId25"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14&amp;&amp;&amp;https://www.revisor.mn.gov/statutes/?id=124D.2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05&amp;&amp;&amp;https://www.revisor.mn.gov/statutes/?id=124D.52" TargetMode="External"/><Relationship Id="rId20"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09&amp;&amp;&amp;https://www.revisor.mn.gov/statutes/?id=126C.20" TargetMode="External"/><Relationship Id="rId29"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18&amp;&amp;&amp;https://www.revisor.mn.gov/statutes/?id=124D.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13&amp;&amp;&amp;https://www.revisor.mn.gov/statutes/?id=124D.16"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04&amp;&amp;&amp;https://www.revisor.mn.gov/statutes/?id=124D.22" TargetMode="External"/><Relationship Id="rId23"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12&amp;&amp;&amp;https://www.revisor.mn.gov/statutes/?id=124D.135" TargetMode="External"/><Relationship Id="rId28"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17&amp;&amp;&amp;https://www.revisor.mn.gov/statutes/?id=124D.531" TargetMode="External"/><Relationship Id="rId10" Type="http://schemas.openxmlformats.org/officeDocument/2006/relationships/endnotes" Target="endnotes.xml"/><Relationship Id="rId19"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08&amp;&amp;&amp;https://www.revisor.mn.gov/statutes/?id=124D.56" TargetMode="External"/><Relationship Id="rId31" Type="http://schemas.openxmlformats.org/officeDocument/2006/relationships/hyperlink" Target="mailto:tom.melcher@state.m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03&amp;&amp;&amp;https://www.revisor.mn.gov/statutes/?id=124D.20" TargetMode="External"/><Relationship Id="rId22"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11&amp;&amp;&amp;https://www.revisor.mn.gov/statutes/?id=127A.45" TargetMode="External"/><Relationship Id="rId27"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16&amp;&amp;&amp;https://www.revisor.mn.gov/statutes/?id=124D.52" TargetMode="External"/><Relationship Id="rId30" Type="http://schemas.openxmlformats.org/officeDocument/2006/relationships/hyperlink" Target="http://links.govdelivery.com:80/track?type=click&amp;enid=ZWFzPTEmbXNpZD0mYXVpZD0mbWFpbGluZ2lkPTIwMTgwNTI0LjkwMjM5NjAxJm1lc3NhZ2VpZD1NREItUFJELUJVTC0yMDE4MDUyNC45MDIzOTYwMSZkYXRhYmFzZWlkPTEwMDEmc2VyaWFsPTE3MjU4NDMyJmVtYWlsaWQ9dG9tLm1lbGNoZXJAc3RhdGUubW4udXMmdXNlcmlkPXRvbS5tZWxjaGVyQHN0YXRlLm1uLnVzJnRhcmdldGlkPSZmbD0mbXZpZD0mZXh0cmE9JiYm&amp;&amp;&amp;119&amp;&amp;&amp;https://www.revisor.mn.gov/statutes/?id=124D.56"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F07C64-33FB-4E97-A2B0-97B83824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Melcher, Tom</dc:creator>
  <cp:keywords/>
  <dc:description/>
  <cp:lastModifiedBy>Fred Nolan</cp:lastModifiedBy>
  <cp:revision>2</cp:revision>
  <cp:lastPrinted>2018-05-24T17:41:00Z</cp:lastPrinted>
  <dcterms:created xsi:type="dcterms:W3CDTF">2018-05-24T18:02:00Z</dcterms:created>
  <dcterms:modified xsi:type="dcterms:W3CDTF">2018-05-24T18:02:00Z</dcterms:modified>
</cp:coreProperties>
</file>